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FAA8" w14:textId="77777777" w:rsidR="00100124" w:rsidRPr="004C5018" w:rsidRDefault="00100124" w:rsidP="00100124">
      <w:pPr>
        <w:rPr>
          <w:b/>
          <w:sz w:val="22"/>
          <w:szCs w:val="22"/>
        </w:rPr>
      </w:pPr>
      <w:bookmarkStart w:id="0" w:name="_GoBack"/>
      <w:bookmarkEnd w:id="0"/>
    </w:p>
    <w:p w14:paraId="74DC9F50" w14:textId="5DE5081D" w:rsidR="0038301A" w:rsidRPr="004C5018" w:rsidRDefault="00567172" w:rsidP="00100124">
      <w:pPr>
        <w:jc w:val="center"/>
        <w:rPr>
          <w:b/>
          <w:sz w:val="22"/>
          <w:szCs w:val="22"/>
        </w:rPr>
      </w:pPr>
      <w:r w:rsidRPr="004C5018">
        <w:rPr>
          <w:b/>
          <w:sz w:val="22"/>
          <w:szCs w:val="22"/>
        </w:rPr>
        <w:t>E</w:t>
      </w:r>
      <w:r w:rsidR="0038301A" w:rsidRPr="004C5018">
        <w:rPr>
          <w:b/>
          <w:sz w:val="22"/>
          <w:szCs w:val="22"/>
        </w:rPr>
        <w:t>CON</w:t>
      </w:r>
      <w:r w:rsidR="006F58CC" w:rsidRPr="004C5018">
        <w:rPr>
          <w:b/>
          <w:sz w:val="22"/>
          <w:szCs w:val="22"/>
        </w:rPr>
        <w:t xml:space="preserve"> 11</w:t>
      </w:r>
      <w:r w:rsidRPr="004C5018">
        <w:rPr>
          <w:b/>
          <w:sz w:val="22"/>
          <w:szCs w:val="22"/>
        </w:rPr>
        <w:t>5</w:t>
      </w:r>
      <w:r w:rsidR="006F58CC" w:rsidRPr="004C5018">
        <w:rPr>
          <w:b/>
          <w:sz w:val="22"/>
          <w:szCs w:val="22"/>
        </w:rPr>
        <w:t>2</w:t>
      </w:r>
      <w:r w:rsidR="00251651" w:rsidRPr="004C5018">
        <w:rPr>
          <w:b/>
          <w:sz w:val="22"/>
          <w:szCs w:val="22"/>
        </w:rPr>
        <w:t xml:space="preserve"> and </w:t>
      </w:r>
      <w:r w:rsidR="00C3350A" w:rsidRPr="004C5018">
        <w:rPr>
          <w:b/>
          <w:sz w:val="22"/>
          <w:szCs w:val="22"/>
        </w:rPr>
        <w:t xml:space="preserve">HKS </w:t>
      </w:r>
      <w:r w:rsidR="00251651" w:rsidRPr="004C5018">
        <w:rPr>
          <w:b/>
          <w:sz w:val="22"/>
          <w:szCs w:val="22"/>
        </w:rPr>
        <w:t>SUP 135</w:t>
      </w:r>
      <w:r w:rsidRPr="004C5018">
        <w:rPr>
          <w:b/>
          <w:sz w:val="22"/>
          <w:szCs w:val="22"/>
        </w:rPr>
        <w:t>: Using Big Data to Solve Economic and Social Problems</w:t>
      </w:r>
    </w:p>
    <w:p w14:paraId="382667E9" w14:textId="77777777" w:rsidR="00773A83" w:rsidRPr="004C5018" w:rsidRDefault="00773A83" w:rsidP="0038301A">
      <w:pPr>
        <w:rPr>
          <w:b/>
          <w:sz w:val="22"/>
          <w:szCs w:val="22"/>
        </w:rPr>
      </w:pPr>
    </w:p>
    <w:p w14:paraId="7275486B" w14:textId="77777777" w:rsidR="001D61AA" w:rsidRPr="004C5018" w:rsidRDefault="001D61AA" w:rsidP="001D61AA">
      <w:pPr>
        <w:rPr>
          <w:b/>
          <w:sz w:val="22"/>
          <w:szCs w:val="22"/>
        </w:rPr>
        <w:sectPr w:rsidR="001D61AA" w:rsidRPr="004C5018" w:rsidSect="008C701B">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18681727" w14:textId="77777777" w:rsidR="001D61AA" w:rsidRPr="004C5018" w:rsidRDefault="001D61AA" w:rsidP="001D61AA">
      <w:pPr>
        <w:rPr>
          <w:sz w:val="22"/>
          <w:szCs w:val="22"/>
        </w:rPr>
      </w:pPr>
      <w:r w:rsidRPr="004C5018">
        <w:rPr>
          <w:sz w:val="22"/>
          <w:szCs w:val="22"/>
        </w:rPr>
        <w:lastRenderedPageBreak/>
        <w:t xml:space="preserve">Instructor: Professor Raj </w:t>
      </w:r>
      <w:proofErr w:type="spellStart"/>
      <w:r w:rsidRPr="004C5018">
        <w:rPr>
          <w:sz w:val="22"/>
          <w:szCs w:val="22"/>
        </w:rPr>
        <w:t>Chetty</w:t>
      </w:r>
      <w:proofErr w:type="spellEnd"/>
    </w:p>
    <w:p w14:paraId="6C4CE465" w14:textId="77777777" w:rsidR="001D61AA" w:rsidRPr="004C5018" w:rsidRDefault="001D61AA" w:rsidP="001D61AA">
      <w:pPr>
        <w:rPr>
          <w:sz w:val="22"/>
          <w:szCs w:val="22"/>
        </w:rPr>
      </w:pPr>
      <w:r w:rsidRPr="004C5018">
        <w:rPr>
          <w:sz w:val="22"/>
          <w:szCs w:val="22"/>
        </w:rPr>
        <w:t xml:space="preserve">Email: </w:t>
      </w:r>
      <w:hyperlink r:id="rId12" w:history="1">
        <w:r w:rsidRPr="004C5018">
          <w:rPr>
            <w:rStyle w:val="Hyperlink"/>
            <w:sz w:val="22"/>
            <w:szCs w:val="22"/>
          </w:rPr>
          <w:t>chetty@fas.harvard.edu</w:t>
        </w:r>
      </w:hyperlink>
    </w:p>
    <w:p w14:paraId="5CE2DD7E" w14:textId="2361A1D4" w:rsidR="001D61AA" w:rsidRPr="004C5018" w:rsidRDefault="00D73B7D" w:rsidP="001D61AA">
      <w:pPr>
        <w:ind w:right="-360"/>
        <w:rPr>
          <w:sz w:val="22"/>
          <w:szCs w:val="22"/>
        </w:rPr>
      </w:pPr>
      <w:r>
        <w:rPr>
          <w:sz w:val="22"/>
          <w:szCs w:val="22"/>
        </w:rPr>
        <w:t>For appointments, contact</w:t>
      </w:r>
      <w:r w:rsidR="001D61AA" w:rsidRPr="00127DB5">
        <w:rPr>
          <w:sz w:val="22"/>
          <w:szCs w:val="22"/>
        </w:rPr>
        <w:t xml:space="preserve"> </w:t>
      </w:r>
      <w:r w:rsidR="007A0878" w:rsidRPr="00127DB5">
        <w:rPr>
          <w:sz w:val="22"/>
          <w:szCs w:val="22"/>
        </w:rPr>
        <w:t>Madeleine Marino</w:t>
      </w:r>
      <w:r w:rsidR="00127DB5">
        <w:rPr>
          <w:sz w:val="22"/>
          <w:szCs w:val="22"/>
        </w:rPr>
        <w:t>:</w:t>
      </w:r>
      <w:r w:rsidR="001D61AA" w:rsidRPr="00127DB5">
        <w:rPr>
          <w:sz w:val="22"/>
          <w:szCs w:val="22"/>
        </w:rPr>
        <w:t xml:space="preserve"> </w:t>
      </w:r>
      <w:hyperlink r:id="rId13" w:history="1">
        <w:r w:rsidR="00127DB5" w:rsidRPr="00127DB5">
          <w:rPr>
            <w:rStyle w:val="Hyperlink"/>
            <w:sz w:val="22"/>
            <w:szCs w:val="22"/>
          </w:rPr>
          <w:t>mjmarino@g.harvard.edu</w:t>
        </w:r>
      </w:hyperlink>
    </w:p>
    <w:p w14:paraId="06580CB5" w14:textId="17E25014" w:rsidR="001D61AA" w:rsidRPr="004C5018" w:rsidRDefault="001D61AA" w:rsidP="001D61AA">
      <w:pPr>
        <w:jc w:val="right"/>
        <w:rPr>
          <w:sz w:val="22"/>
          <w:szCs w:val="22"/>
        </w:rPr>
      </w:pPr>
      <w:r w:rsidRPr="004C5018">
        <w:rPr>
          <w:sz w:val="22"/>
          <w:szCs w:val="22"/>
        </w:rPr>
        <w:lastRenderedPageBreak/>
        <w:t>Head Section Leader: Gregory Bruich, Ph.D.</w:t>
      </w:r>
    </w:p>
    <w:p w14:paraId="7AEC3EBD" w14:textId="77777777" w:rsidR="001D61AA" w:rsidRPr="004C5018" w:rsidRDefault="001D61AA" w:rsidP="001D61AA">
      <w:pPr>
        <w:jc w:val="right"/>
        <w:rPr>
          <w:sz w:val="22"/>
          <w:szCs w:val="22"/>
        </w:rPr>
      </w:pPr>
      <w:r w:rsidRPr="004C5018">
        <w:rPr>
          <w:sz w:val="22"/>
          <w:szCs w:val="22"/>
        </w:rPr>
        <w:t xml:space="preserve">Email: </w:t>
      </w:r>
      <w:hyperlink r:id="rId14" w:history="1">
        <w:r w:rsidRPr="004C5018">
          <w:rPr>
            <w:rStyle w:val="Hyperlink"/>
            <w:sz w:val="22"/>
            <w:szCs w:val="22"/>
          </w:rPr>
          <w:t>gbruich@fas.harvard.edu</w:t>
        </w:r>
      </w:hyperlink>
    </w:p>
    <w:p w14:paraId="542FC156" w14:textId="0EE6CFE8" w:rsidR="001D61AA" w:rsidRPr="004C5018" w:rsidRDefault="001D61AA" w:rsidP="001D61AA">
      <w:pPr>
        <w:jc w:val="right"/>
        <w:rPr>
          <w:sz w:val="22"/>
          <w:szCs w:val="22"/>
        </w:rPr>
      </w:pPr>
      <w:r w:rsidRPr="004C5018">
        <w:rPr>
          <w:sz w:val="22"/>
          <w:szCs w:val="22"/>
        </w:rPr>
        <w:t>Office</w:t>
      </w:r>
      <w:r w:rsidR="00864B44" w:rsidRPr="004C5018">
        <w:rPr>
          <w:sz w:val="22"/>
          <w:szCs w:val="22"/>
        </w:rPr>
        <w:t>: Littauer 113</w:t>
      </w:r>
    </w:p>
    <w:p w14:paraId="4718D0A4" w14:textId="77777777" w:rsidR="001D61AA" w:rsidRPr="004C5018" w:rsidRDefault="001D61AA" w:rsidP="001D61AA">
      <w:pPr>
        <w:rPr>
          <w:sz w:val="22"/>
          <w:szCs w:val="22"/>
        </w:rPr>
        <w:sectPr w:rsidR="001D61AA" w:rsidRPr="004C5018" w:rsidSect="00773A83">
          <w:type w:val="continuous"/>
          <w:pgSz w:w="12240" w:h="15840"/>
          <w:pgMar w:top="1440" w:right="1440" w:bottom="1440" w:left="1440" w:header="720" w:footer="720" w:gutter="0"/>
          <w:cols w:num="2" w:space="720"/>
          <w:docGrid w:linePitch="360"/>
        </w:sectPr>
      </w:pPr>
    </w:p>
    <w:p w14:paraId="1E08F999" w14:textId="77777777" w:rsidR="001D61AA" w:rsidRPr="004C5018" w:rsidRDefault="001D61AA" w:rsidP="001D61AA">
      <w:pPr>
        <w:jc w:val="both"/>
        <w:rPr>
          <w:sz w:val="22"/>
          <w:szCs w:val="22"/>
        </w:rPr>
      </w:pPr>
    </w:p>
    <w:p w14:paraId="514E35B4" w14:textId="5F9782D9" w:rsidR="00013E89" w:rsidRPr="004C5018" w:rsidRDefault="00C76470" w:rsidP="00E516E5">
      <w:pPr>
        <w:jc w:val="both"/>
        <w:rPr>
          <w:b/>
          <w:sz w:val="22"/>
          <w:szCs w:val="22"/>
        </w:rPr>
      </w:pPr>
      <w:r w:rsidRPr="004C5018">
        <w:rPr>
          <w:b/>
          <w:sz w:val="22"/>
          <w:szCs w:val="22"/>
        </w:rPr>
        <w:t xml:space="preserve">Teaching </w:t>
      </w:r>
      <w:r w:rsidR="00F33FD0" w:rsidRPr="004C5018">
        <w:rPr>
          <w:b/>
          <w:sz w:val="22"/>
          <w:szCs w:val="22"/>
        </w:rPr>
        <w:t>Fellows</w:t>
      </w:r>
      <w:r w:rsidRPr="004C5018">
        <w:rPr>
          <w:b/>
          <w:sz w:val="22"/>
          <w:szCs w:val="22"/>
        </w:rPr>
        <w:t>:</w:t>
      </w:r>
      <w:r w:rsidR="006F58CC" w:rsidRPr="004C5018">
        <w:rPr>
          <w:b/>
          <w:sz w:val="22"/>
          <w:szCs w:val="22"/>
        </w:rPr>
        <w:t xml:space="preserve"> </w:t>
      </w:r>
    </w:p>
    <w:p w14:paraId="5283A63B" w14:textId="77777777" w:rsidR="002A0D9A" w:rsidRPr="004C5018" w:rsidRDefault="002A0D9A" w:rsidP="00E516E5">
      <w:pPr>
        <w:jc w:val="both"/>
        <w:rPr>
          <w:b/>
          <w:sz w:val="22"/>
          <w:szCs w:val="22"/>
        </w:rPr>
      </w:pPr>
    </w:p>
    <w:tbl>
      <w:tblPr>
        <w:tblStyle w:val="TableGrid"/>
        <w:tblW w:w="0" w:type="auto"/>
        <w:jc w:val="center"/>
        <w:tblLook w:val="04A0" w:firstRow="1" w:lastRow="0" w:firstColumn="1" w:lastColumn="0" w:noHBand="0" w:noVBand="1"/>
      </w:tblPr>
      <w:tblGrid>
        <w:gridCol w:w="3505"/>
        <w:gridCol w:w="4410"/>
      </w:tblGrid>
      <w:tr w:rsidR="002A0D9A" w:rsidRPr="004C5018" w14:paraId="2B68C486" w14:textId="77777777" w:rsidTr="002A0D9A">
        <w:trPr>
          <w:trHeight w:val="288"/>
          <w:jc w:val="center"/>
        </w:trPr>
        <w:tc>
          <w:tcPr>
            <w:tcW w:w="3505" w:type="dxa"/>
            <w:noWrap/>
            <w:hideMark/>
          </w:tcPr>
          <w:p w14:paraId="6962E684" w14:textId="77777777" w:rsidR="002A0D9A" w:rsidRPr="004C5018" w:rsidRDefault="002A0D9A" w:rsidP="002A0D9A">
            <w:pPr>
              <w:rPr>
                <w:sz w:val="22"/>
                <w:szCs w:val="22"/>
              </w:rPr>
            </w:pPr>
            <w:r w:rsidRPr="004C5018">
              <w:rPr>
                <w:sz w:val="22"/>
                <w:szCs w:val="22"/>
              </w:rPr>
              <w:t>Gregory Davis</w:t>
            </w:r>
          </w:p>
        </w:tc>
        <w:tc>
          <w:tcPr>
            <w:tcW w:w="4410" w:type="dxa"/>
            <w:noWrap/>
            <w:hideMark/>
          </w:tcPr>
          <w:p w14:paraId="123236B0" w14:textId="6D6AF4C5" w:rsidR="002A0D9A" w:rsidRPr="004C5018" w:rsidRDefault="00642812" w:rsidP="002A0D9A">
            <w:pPr>
              <w:rPr>
                <w:sz w:val="22"/>
                <w:szCs w:val="22"/>
              </w:rPr>
            </w:pPr>
            <w:r w:rsidRPr="004C5018">
              <w:rPr>
                <w:rStyle w:val="Hyperlink"/>
                <w:color w:val="auto"/>
                <w:sz w:val="22"/>
                <w:szCs w:val="22"/>
                <w:u w:val="none"/>
              </w:rPr>
              <w:t>gdavis@g.harvard.edu</w:t>
            </w:r>
          </w:p>
        </w:tc>
      </w:tr>
      <w:tr w:rsidR="002A0D9A" w:rsidRPr="004C5018" w14:paraId="7535665F" w14:textId="77777777" w:rsidTr="002A0D9A">
        <w:trPr>
          <w:trHeight w:val="288"/>
          <w:jc w:val="center"/>
        </w:trPr>
        <w:tc>
          <w:tcPr>
            <w:tcW w:w="3505" w:type="dxa"/>
            <w:noWrap/>
            <w:hideMark/>
          </w:tcPr>
          <w:p w14:paraId="6D480033" w14:textId="34DFDDC5" w:rsidR="002A0D9A" w:rsidRPr="004C5018" w:rsidRDefault="002A0D9A" w:rsidP="002A0D9A">
            <w:pPr>
              <w:rPr>
                <w:sz w:val="22"/>
                <w:szCs w:val="22"/>
              </w:rPr>
            </w:pPr>
            <w:r w:rsidRPr="004C5018">
              <w:rPr>
                <w:sz w:val="22"/>
                <w:szCs w:val="22"/>
              </w:rPr>
              <w:t xml:space="preserve">Pedro Gabriel </w:t>
            </w:r>
            <w:proofErr w:type="spellStart"/>
            <w:r w:rsidRPr="004C5018">
              <w:rPr>
                <w:sz w:val="22"/>
                <w:szCs w:val="22"/>
              </w:rPr>
              <w:t>Degiovanni</w:t>
            </w:r>
            <w:proofErr w:type="spellEnd"/>
          </w:p>
        </w:tc>
        <w:tc>
          <w:tcPr>
            <w:tcW w:w="4410" w:type="dxa"/>
            <w:noWrap/>
            <w:hideMark/>
          </w:tcPr>
          <w:p w14:paraId="7E3C9537" w14:textId="6DEF75BA" w:rsidR="002A0D9A" w:rsidRPr="004C5018" w:rsidRDefault="00314EB9" w:rsidP="002A0D9A">
            <w:pPr>
              <w:rPr>
                <w:sz w:val="22"/>
                <w:szCs w:val="22"/>
              </w:rPr>
            </w:pPr>
            <w:r w:rsidRPr="004C5018">
              <w:rPr>
                <w:sz w:val="22"/>
                <w:szCs w:val="22"/>
              </w:rPr>
              <w:t>pedrodegiovanni@g.harvard.edu</w:t>
            </w:r>
          </w:p>
        </w:tc>
      </w:tr>
      <w:tr w:rsidR="002A0D9A" w:rsidRPr="004C5018" w14:paraId="25392CBF" w14:textId="77777777" w:rsidTr="002A0D9A">
        <w:trPr>
          <w:trHeight w:val="288"/>
          <w:jc w:val="center"/>
        </w:trPr>
        <w:tc>
          <w:tcPr>
            <w:tcW w:w="3505" w:type="dxa"/>
            <w:noWrap/>
            <w:hideMark/>
          </w:tcPr>
          <w:p w14:paraId="1CA55368" w14:textId="77777777" w:rsidR="002A0D9A" w:rsidRPr="004C5018" w:rsidRDefault="002A0D9A" w:rsidP="002A0D9A">
            <w:pPr>
              <w:rPr>
                <w:sz w:val="22"/>
                <w:szCs w:val="22"/>
              </w:rPr>
            </w:pPr>
            <w:r w:rsidRPr="004C5018">
              <w:rPr>
                <w:sz w:val="22"/>
                <w:szCs w:val="22"/>
              </w:rPr>
              <w:t xml:space="preserve">Michael </w:t>
            </w:r>
            <w:proofErr w:type="spellStart"/>
            <w:r w:rsidRPr="004C5018">
              <w:rPr>
                <w:sz w:val="22"/>
                <w:szCs w:val="22"/>
              </w:rPr>
              <w:t>Droste</w:t>
            </w:r>
            <w:proofErr w:type="spellEnd"/>
          </w:p>
        </w:tc>
        <w:tc>
          <w:tcPr>
            <w:tcW w:w="4410" w:type="dxa"/>
            <w:noWrap/>
            <w:hideMark/>
          </w:tcPr>
          <w:p w14:paraId="0D7D913B" w14:textId="217EF16B" w:rsidR="002A0D9A" w:rsidRPr="004C5018" w:rsidRDefault="00831C22" w:rsidP="002A0D9A">
            <w:pPr>
              <w:rPr>
                <w:sz w:val="22"/>
                <w:szCs w:val="22"/>
              </w:rPr>
            </w:pPr>
            <w:r w:rsidRPr="004C5018">
              <w:rPr>
                <w:rStyle w:val="Hyperlink"/>
                <w:color w:val="auto"/>
                <w:sz w:val="22"/>
                <w:szCs w:val="22"/>
                <w:u w:val="none"/>
              </w:rPr>
              <w:t>mdroste@fas.harvard.edu</w:t>
            </w:r>
          </w:p>
        </w:tc>
      </w:tr>
      <w:tr w:rsidR="002A0D9A" w:rsidRPr="004C5018" w14:paraId="5999ACF0" w14:textId="77777777" w:rsidTr="002A0D9A">
        <w:trPr>
          <w:trHeight w:val="288"/>
          <w:jc w:val="center"/>
        </w:trPr>
        <w:tc>
          <w:tcPr>
            <w:tcW w:w="3505" w:type="dxa"/>
            <w:noWrap/>
            <w:hideMark/>
          </w:tcPr>
          <w:p w14:paraId="1D766A97" w14:textId="38D1E327" w:rsidR="002A0D9A" w:rsidRPr="004C5018" w:rsidRDefault="002A0D9A" w:rsidP="002A0D9A">
            <w:pPr>
              <w:rPr>
                <w:sz w:val="22"/>
                <w:szCs w:val="22"/>
              </w:rPr>
            </w:pPr>
            <w:r w:rsidRPr="004C5018">
              <w:rPr>
                <w:sz w:val="22"/>
                <w:szCs w:val="22"/>
              </w:rPr>
              <w:t xml:space="preserve">Diana </w:t>
            </w:r>
            <w:proofErr w:type="spellStart"/>
            <w:r w:rsidRPr="004C5018">
              <w:rPr>
                <w:sz w:val="22"/>
                <w:szCs w:val="22"/>
              </w:rPr>
              <w:t>Goldemberg</w:t>
            </w:r>
            <w:proofErr w:type="spellEnd"/>
            <w:r w:rsidR="001C5B96">
              <w:rPr>
                <w:sz w:val="22"/>
                <w:szCs w:val="22"/>
              </w:rPr>
              <w:t>, Ph.D.</w:t>
            </w:r>
          </w:p>
        </w:tc>
        <w:tc>
          <w:tcPr>
            <w:tcW w:w="4410" w:type="dxa"/>
            <w:noWrap/>
            <w:hideMark/>
          </w:tcPr>
          <w:p w14:paraId="62E3D61B" w14:textId="77777777" w:rsidR="002A0D9A" w:rsidRPr="004C5018" w:rsidRDefault="002A0D9A" w:rsidP="002A0D9A">
            <w:pPr>
              <w:rPr>
                <w:sz w:val="22"/>
                <w:szCs w:val="22"/>
              </w:rPr>
            </w:pPr>
            <w:r w:rsidRPr="004C5018">
              <w:rPr>
                <w:sz w:val="22"/>
                <w:szCs w:val="22"/>
              </w:rPr>
              <w:t>diana_goldemberg@g.harvard.edu</w:t>
            </w:r>
          </w:p>
        </w:tc>
      </w:tr>
      <w:tr w:rsidR="0053278A" w:rsidRPr="004C5018" w14:paraId="4F5BD859" w14:textId="77777777" w:rsidTr="002A0D9A">
        <w:trPr>
          <w:trHeight w:val="288"/>
          <w:jc w:val="center"/>
        </w:trPr>
        <w:tc>
          <w:tcPr>
            <w:tcW w:w="3505" w:type="dxa"/>
            <w:noWrap/>
          </w:tcPr>
          <w:p w14:paraId="3BEB9FD8" w14:textId="75E74504" w:rsidR="0053278A" w:rsidRPr="0019299F" w:rsidRDefault="0053278A" w:rsidP="002A0D9A">
            <w:pPr>
              <w:rPr>
                <w:sz w:val="22"/>
                <w:szCs w:val="22"/>
              </w:rPr>
            </w:pPr>
            <w:r w:rsidRPr="0053278A">
              <w:rPr>
                <w:sz w:val="22"/>
                <w:szCs w:val="22"/>
              </w:rPr>
              <w:t>Caroline Geiger</w:t>
            </w:r>
          </w:p>
        </w:tc>
        <w:tc>
          <w:tcPr>
            <w:tcW w:w="4410" w:type="dxa"/>
            <w:noWrap/>
          </w:tcPr>
          <w:p w14:paraId="595FE833" w14:textId="6151B0A5" w:rsidR="0053278A" w:rsidRPr="0019299F" w:rsidRDefault="0053278A" w:rsidP="002A0D9A">
            <w:pPr>
              <w:rPr>
                <w:rStyle w:val="Hyperlink"/>
                <w:color w:val="auto"/>
                <w:sz w:val="22"/>
                <w:szCs w:val="22"/>
                <w:u w:val="none"/>
              </w:rPr>
            </w:pPr>
            <w:r w:rsidRPr="0053278A">
              <w:rPr>
                <w:rStyle w:val="Hyperlink"/>
                <w:color w:val="auto"/>
                <w:sz w:val="22"/>
                <w:szCs w:val="22"/>
                <w:u w:val="none"/>
              </w:rPr>
              <w:t>caroline_kelley@g.harvard.edu</w:t>
            </w:r>
          </w:p>
        </w:tc>
      </w:tr>
      <w:tr w:rsidR="0019299F" w:rsidRPr="004C5018" w14:paraId="5C35B988" w14:textId="77777777" w:rsidTr="002A0D9A">
        <w:trPr>
          <w:trHeight w:val="288"/>
          <w:jc w:val="center"/>
        </w:trPr>
        <w:tc>
          <w:tcPr>
            <w:tcW w:w="3505" w:type="dxa"/>
            <w:noWrap/>
          </w:tcPr>
          <w:p w14:paraId="2A52BB1F" w14:textId="606C5B31" w:rsidR="0019299F" w:rsidRPr="004C5018" w:rsidRDefault="0019299F" w:rsidP="002A0D9A">
            <w:pPr>
              <w:rPr>
                <w:sz w:val="22"/>
                <w:szCs w:val="22"/>
              </w:rPr>
            </w:pPr>
            <w:proofErr w:type="spellStart"/>
            <w:r w:rsidRPr="0019299F">
              <w:rPr>
                <w:sz w:val="22"/>
                <w:szCs w:val="22"/>
              </w:rPr>
              <w:t>Gru</w:t>
            </w:r>
            <w:proofErr w:type="spellEnd"/>
            <w:r w:rsidRPr="0019299F">
              <w:rPr>
                <w:sz w:val="22"/>
                <w:szCs w:val="22"/>
              </w:rPr>
              <w:t xml:space="preserve"> Han</w:t>
            </w:r>
          </w:p>
        </w:tc>
        <w:tc>
          <w:tcPr>
            <w:tcW w:w="4410" w:type="dxa"/>
            <w:noWrap/>
          </w:tcPr>
          <w:p w14:paraId="42E166E8" w14:textId="0A068520" w:rsidR="0019299F" w:rsidRPr="004C5018" w:rsidRDefault="0019299F" w:rsidP="002A0D9A">
            <w:pPr>
              <w:rPr>
                <w:rStyle w:val="Hyperlink"/>
                <w:color w:val="auto"/>
                <w:sz w:val="22"/>
                <w:szCs w:val="22"/>
                <w:u w:val="none"/>
              </w:rPr>
            </w:pPr>
            <w:r w:rsidRPr="0019299F">
              <w:rPr>
                <w:rStyle w:val="Hyperlink"/>
                <w:color w:val="auto"/>
                <w:sz w:val="22"/>
                <w:szCs w:val="22"/>
                <w:u w:val="none"/>
              </w:rPr>
              <w:t>gruhan@fas.harvard.edu</w:t>
            </w:r>
          </w:p>
        </w:tc>
      </w:tr>
      <w:tr w:rsidR="002A0D9A" w:rsidRPr="004C5018" w14:paraId="60CFF70F" w14:textId="77777777" w:rsidTr="002A0D9A">
        <w:trPr>
          <w:trHeight w:val="288"/>
          <w:jc w:val="center"/>
        </w:trPr>
        <w:tc>
          <w:tcPr>
            <w:tcW w:w="3505" w:type="dxa"/>
            <w:noWrap/>
            <w:hideMark/>
          </w:tcPr>
          <w:p w14:paraId="778C58F0" w14:textId="77777777" w:rsidR="002A0D9A" w:rsidRPr="004C5018" w:rsidRDefault="002A0D9A" w:rsidP="002A0D9A">
            <w:pPr>
              <w:rPr>
                <w:sz w:val="22"/>
                <w:szCs w:val="22"/>
              </w:rPr>
            </w:pPr>
            <w:r w:rsidRPr="004C5018">
              <w:rPr>
                <w:sz w:val="22"/>
                <w:szCs w:val="22"/>
              </w:rPr>
              <w:t xml:space="preserve">Hanno </w:t>
            </w:r>
            <w:proofErr w:type="spellStart"/>
            <w:r w:rsidRPr="004C5018">
              <w:rPr>
                <w:sz w:val="22"/>
                <w:szCs w:val="22"/>
              </w:rPr>
              <w:t>Hilbig</w:t>
            </w:r>
            <w:proofErr w:type="spellEnd"/>
          </w:p>
        </w:tc>
        <w:tc>
          <w:tcPr>
            <w:tcW w:w="4410" w:type="dxa"/>
            <w:noWrap/>
            <w:hideMark/>
          </w:tcPr>
          <w:p w14:paraId="5E3CE2A7" w14:textId="0C2D2B75" w:rsidR="002A0D9A" w:rsidRPr="004C5018" w:rsidRDefault="00642812" w:rsidP="002A0D9A">
            <w:pPr>
              <w:rPr>
                <w:sz w:val="22"/>
                <w:szCs w:val="22"/>
              </w:rPr>
            </w:pPr>
            <w:r w:rsidRPr="004C5018">
              <w:rPr>
                <w:rStyle w:val="Hyperlink"/>
                <w:color w:val="auto"/>
                <w:sz w:val="22"/>
                <w:szCs w:val="22"/>
                <w:u w:val="none"/>
              </w:rPr>
              <w:t>hhilbig@g.harvard.edu</w:t>
            </w:r>
          </w:p>
        </w:tc>
      </w:tr>
      <w:tr w:rsidR="002A0D9A" w:rsidRPr="004C5018" w14:paraId="2F6246D0" w14:textId="77777777" w:rsidTr="002A0D9A">
        <w:trPr>
          <w:trHeight w:val="288"/>
          <w:jc w:val="center"/>
        </w:trPr>
        <w:tc>
          <w:tcPr>
            <w:tcW w:w="3505" w:type="dxa"/>
            <w:noWrap/>
            <w:hideMark/>
          </w:tcPr>
          <w:p w14:paraId="2545E4D9" w14:textId="77777777" w:rsidR="002A0D9A" w:rsidRPr="004C5018" w:rsidRDefault="002A0D9A" w:rsidP="002A0D9A">
            <w:pPr>
              <w:rPr>
                <w:sz w:val="22"/>
                <w:szCs w:val="22"/>
              </w:rPr>
            </w:pPr>
            <w:r w:rsidRPr="004C5018">
              <w:rPr>
                <w:sz w:val="22"/>
                <w:szCs w:val="22"/>
              </w:rPr>
              <w:t xml:space="preserve">Alejandro </w:t>
            </w:r>
            <w:proofErr w:type="spellStart"/>
            <w:r w:rsidRPr="004C5018">
              <w:rPr>
                <w:sz w:val="22"/>
                <w:szCs w:val="22"/>
              </w:rPr>
              <w:t>Lagomarsino</w:t>
            </w:r>
            <w:proofErr w:type="spellEnd"/>
          </w:p>
        </w:tc>
        <w:tc>
          <w:tcPr>
            <w:tcW w:w="4410" w:type="dxa"/>
            <w:noWrap/>
            <w:hideMark/>
          </w:tcPr>
          <w:p w14:paraId="05692FFA" w14:textId="77777777" w:rsidR="002A0D9A" w:rsidRPr="004C5018" w:rsidRDefault="002A0D9A" w:rsidP="002A0D9A">
            <w:pPr>
              <w:rPr>
                <w:sz w:val="22"/>
                <w:szCs w:val="22"/>
              </w:rPr>
            </w:pPr>
            <w:r w:rsidRPr="004C5018">
              <w:rPr>
                <w:sz w:val="22"/>
                <w:szCs w:val="22"/>
              </w:rPr>
              <w:t>alagomarsino@g.harvard.edu</w:t>
            </w:r>
          </w:p>
        </w:tc>
      </w:tr>
      <w:tr w:rsidR="002A0D9A" w:rsidRPr="004C5018" w14:paraId="3B7B97D6" w14:textId="77777777" w:rsidTr="002A0D9A">
        <w:trPr>
          <w:trHeight w:val="288"/>
          <w:jc w:val="center"/>
        </w:trPr>
        <w:tc>
          <w:tcPr>
            <w:tcW w:w="3505" w:type="dxa"/>
            <w:noWrap/>
            <w:hideMark/>
          </w:tcPr>
          <w:p w14:paraId="68436DDB" w14:textId="77777777" w:rsidR="002A0D9A" w:rsidRPr="004C5018" w:rsidRDefault="002A0D9A" w:rsidP="002A0D9A">
            <w:pPr>
              <w:rPr>
                <w:sz w:val="22"/>
                <w:szCs w:val="22"/>
              </w:rPr>
            </w:pPr>
            <w:r w:rsidRPr="004C5018">
              <w:rPr>
                <w:sz w:val="22"/>
                <w:szCs w:val="22"/>
              </w:rPr>
              <w:t>John Macke</w:t>
            </w:r>
          </w:p>
        </w:tc>
        <w:tc>
          <w:tcPr>
            <w:tcW w:w="4410" w:type="dxa"/>
            <w:noWrap/>
            <w:hideMark/>
          </w:tcPr>
          <w:p w14:paraId="7DDA51A8" w14:textId="3D2E055B" w:rsidR="002A0D9A" w:rsidRPr="004C5018" w:rsidRDefault="00642812" w:rsidP="002A0D9A">
            <w:pPr>
              <w:rPr>
                <w:sz w:val="22"/>
                <w:szCs w:val="22"/>
              </w:rPr>
            </w:pPr>
            <w:r w:rsidRPr="004C5018">
              <w:rPr>
                <w:rStyle w:val="Hyperlink"/>
                <w:color w:val="auto"/>
                <w:sz w:val="22"/>
                <w:szCs w:val="22"/>
                <w:u w:val="none"/>
              </w:rPr>
              <w:t>jmacke@g.harvard.edu</w:t>
            </w:r>
          </w:p>
        </w:tc>
      </w:tr>
      <w:tr w:rsidR="002A0D9A" w:rsidRPr="004C5018" w14:paraId="0446822E" w14:textId="77777777" w:rsidTr="002A0D9A">
        <w:trPr>
          <w:trHeight w:val="288"/>
          <w:jc w:val="center"/>
        </w:trPr>
        <w:tc>
          <w:tcPr>
            <w:tcW w:w="3505" w:type="dxa"/>
            <w:noWrap/>
            <w:hideMark/>
          </w:tcPr>
          <w:p w14:paraId="0F7CC5AF" w14:textId="77777777" w:rsidR="002A0D9A" w:rsidRPr="004C5018" w:rsidRDefault="002A0D9A" w:rsidP="002A0D9A">
            <w:pPr>
              <w:rPr>
                <w:sz w:val="22"/>
                <w:szCs w:val="22"/>
              </w:rPr>
            </w:pPr>
            <w:r w:rsidRPr="004C5018">
              <w:rPr>
                <w:sz w:val="22"/>
                <w:szCs w:val="22"/>
              </w:rPr>
              <w:t xml:space="preserve">Ian </w:t>
            </w:r>
            <w:proofErr w:type="spellStart"/>
            <w:r w:rsidRPr="004C5018">
              <w:rPr>
                <w:sz w:val="22"/>
                <w:szCs w:val="22"/>
              </w:rPr>
              <w:t>Nason</w:t>
            </w:r>
            <w:proofErr w:type="spellEnd"/>
          </w:p>
        </w:tc>
        <w:tc>
          <w:tcPr>
            <w:tcW w:w="4410" w:type="dxa"/>
            <w:noWrap/>
            <w:hideMark/>
          </w:tcPr>
          <w:p w14:paraId="40B8955A" w14:textId="54ADD2C4" w:rsidR="002A0D9A" w:rsidRPr="004C5018" w:rsidRDefault="00642812" w:rsidP="002A0D9A">
            <w:pPr>
              <w:rPr>
                <w:sz w:val="22"/>
                <w:szCs w:val="22"/>
              </w:rPr>
            </w:pPr>
            <w:r w:rsidRPr="004C5018">
              <w:rPr>
                <w:rStyle w:val="Hyperlink"/>
                <w:color w:val="auto"/>
                <w:sz w:val="22"/>
                <w:szCs w:val="22"/>
                <w:u w:val="none"/>
              </w:rPr>
              <w:t>nason@g.harvard.edu</w:t>
            </w:r>
          </w:p>
        </w:tc>
      </w:tr>
      <w:tr w:rsidR="0053278A" w:rsidRPr="004C5018" w14:paraId="4CDD08CA" w14:textId="77777777" w:rsidTr="002A0D9A">
        <w:trPr>
          <w:trHeight w:val="288"/>
          <w:jc w:val="center"/>
        </w:trPr>
        <w:tc>
          <w:tcPr>
            <w:tcW w:w="3505" w:type="dxa"/>
            <w:noWrap/>
          </w:tcPr>
          <w:p w14:paraId="6FD7990E" w14:textId="64FA4B61" w:rsidR="0053278A" w:rsidRPr="003F655D" w:rsidRDefault="0053278A" w:rsidP="002A0D9A">
            <w:pPr>
              <w:rPr>
                <w:sz w:val="22"/>
                <w:szCs w:val="22"/>
              </w:rPr>
            </w:pPr>
            <w:r w:rsidRPr="0053278A">
              <w:rPr>
                <w:sz w:val="22"/>
                <w:szCs w:val="22"/>
              </w:rPr>
              <w:t>Lena Shi</w:t>
            </w:r>
          </w:p>
        </w:tc>
        <w:tc>
          <w:tcPr>
            <w:tcW w:w="4410" w:type="dxa"/>
            <w:noWrap/>
          </w:tcPr>
          <w:p w14:paraId="3D1795DD" w14:textId="315A465D" w:rsidR="0053278A" w:rsidRPr="003F655D" w:rsidRDefault="0053278A" w:rsidP="002A0D9A">
            <w:pPr>
              <w:rPr>
                <w:sz w:val="22"/>
                <w:szCs w:val="22"/>
              </w:rPr>
            </w:pPr>
            <w:r w:rsidRPr="0053278A">
              <w:rPr>
                <w:sz w:val="22"/>
                <w:szCs w:val="22"/>
              </w:rPr>
              <w:t>yulenashi@g.harvard.edu</w:t>
            </w:r>
          </w:p>
        </w:tc>
      </w:tr>
      <w:tr w:rsidR="003F655D" w:rsidRPr="004C5018" w14:paraId="23A5151F" w14:textId="77777777" w:rsidTr="002A0D9A">
        <w:trPr>
          <w:trHeight w:val="288"/>
          <w:jc w:val="center"/>
        </w:trPr>
        <w:tc>
          <w:tcPr>
            <w:tcW w:w="3505" w:type="dxa"/>
            <w:noWrap/>
          </w:tcPr>
          <w:p w14:paraId="357444D4" w14:textId="4D709547" w:rsidR="003F655D" w:rsidRPr="004C5018" w:rsidRDefault="003F655D" w:rsidP="002A0D9A">
            <w:pPr>
              <w:rPr>
                <w:sz w:val="22"/>
                <w:szCs w:val="22"/>
              </w:rPr>
            </w:pPr>
            <w:proofErr w:type="spellStart"/>
            <w:r w:rsidRPr="003F655D">
              <w:rPr>
                <w:sz w:val="22"/>
                <w:szCs w:val="22"/>
              </w:rPr>
              <w:t>Mikko</w:t>
            </w:r>
            <w:proofErr w:type="spellEnd"/>
            <w:r w:rsidRPr="003F655D">
              <w:rPr>
                <w:sz w:val="22"/>
                <w:szCs w:val="22"/>
              </w:rPr>
              <w:t xml:space="preserve"> Silliman</w:t>
            </w:r>
          </w:p>
        </w:tc>
        <w:tc>
          <w:tcPr>
            <w:tcW w:w="4410" w:type="dxa"/>
            <w:noWrap/>
          </w:tcPr>
          <w:p w14:paraId="48814E49" w14:textId="16CBBEFC" w:rsidR="003F655D" w:rsidRPr="004C5018" w:rsidRDefault="003F655D" w:rsidP="002A0D9A">
            <w:pPr>
              <w:rPr>
                <w:sz w:val="22"/>
                <w:szCs w:val="22"/>
              </w:rPr>
            </w:pPr>
            <w:r w:rsidRPr="003F655D">
              <w:rPr>
                <w:sz w:val="22"/>
                <w:szCs w:val="22"/>
              </w:rPr>
              <w:t>silliman@g.harvard.edu</w:t>
            </w:r>
          </w:p>
        </w:tc>
      </w:tr>
      <w:tr w:rsidR="002A0D9A" w:rsidRPr="004C5018" w14:paraId="3F301612" w14:textId="77777777" w:rsidTr="002A0D9A">
        <w:trPr>
          <w:trHeight w:val="288"/>
          <w:jc w:val="center"/>
        </w:trPr>
        <w:tc>
          <w:tcPr>
            <w:tcW w:w="3505" w:type="dxa"/>
            <w:noWrap/>
            <w:hideMark/>
          </w:tcPr>
          <w:p w14:paraId="1FFCC214" w14:textId="70DCEC9B" w:rsidR="002A0D9A" w:rsidRPr="004C5018" w:rsidRDefault="00D0506C" w:rsidP="002A0D9A">
            <w:pPr>
              <w:rPr>
                <w:sz w:val="22"/>
                <w:szCs w:val="22"/>
              </w:rPr>
            </w:pPr>
            <w:r w:rsidRPr="004C5018">
              <w:rPr>
                <w:sz w:val="22"/>
                <w:szCs w:val="22"/>
              </w:rPr>
              <w:t>Niharika</w:t>
            </w:r>
            <w:r w:rsidR="002A0D9A" w:rsidRPr="004C5018">
              <w:rPr>
                <w:sz w:val="22"/>
                <w:szCs w:val="22"/>
              </w:rPr>
              <w:t xml:space="preserve"> Singh</w:t>
            </w:r>
          </w:p>
        </w:tc>
        <w:tc>
          <w:tcPr>
            <w:tcW w:w="4410" w:type="dxa"/>
            <w:noWrap/>
            <w:hideMark/>
          </w:tcPr>
          <w:p w14:paraId="3EAE48EA" w14:textId="77777777" w:rsidR="002A0D9A" w:rsidRPr="004C5018" w:rsidRDefault="002A0D9A" w:rsidP="002A0D9A">
            <w:pPr>
              <w:rPr>
                <w:sz w:val="22"/>
                <w:szCs w:val="22"/>
              </w:rPr>
            </w:pPr>
            <w:r w:rsidRPr="004C5018">
              <w:rPr>
                <w:sz w:val="22"/>
                <w:szCs w:val="22"/>
              </w:rPr>
              <w:t>niharikasingh@g.harvard.edu</w:t>
            </w:r>
          </w:p>
        </w:tc>
      </w:tr>
      <w:tr w:rsidR="002A0D9A" w:rsidRPr="004C5018" w14:paraId="63839A8E" w14:textId="77777777" w:rsidTr="002A0D9A">
        <w:trPr>
          <w:trHeight w:val="288"/>
          <w:jc w:val="center"/>
        </w:trPr>
        <w:tc>
          <w:tcPr>
            <w:tcW w:w="3505" w:type="dxa"/>
            <w:noWrap/>
            <w:hideMark/>
          </w:tcPr>
          <w:p w14:paraId="32CB7AF2" w14:textId="6E97D6FF" w:rsidR="002A0D9A" w:rsidRPr="004C5018" w:rsidRDefault="002A0D9A" w:rsidP="002A0D9A">
            <w:pPr>
              <w:rPr>
                <w:sz w:val="22"/>
                <w:szCs w:val="22"/>
              </w:rPr>
            </w:pPr>
            <w:proofErr w:type="spellStart"/>
            <w:r w:rsidRPr="004C5018">
              <w:rPr>
                <w:sz w:val="22"/>
                <w:szCs w:val="22"/>
              </w:rPr>
              <w:t>Tanggang</w:t>
            </w:r>
            <w:proofErr w:type="spellEnd"/>
            <w:r w:rsidRPr="004C5018">
              <w:rPr>
                <w:sz w:val="22"/>
                <w:szCs w:val="22"/>
              </w:rPr>
              <w:t xml:space="preserve"> Yuan</w:t>
            </w:r>
            <w:r w:rsidR="00840F25" w:rsidRPr="004C5018">
              <w:rPr>
                <w:sz w:val="22"/>
                <w:szCs w:val="22"/>
              </w:rPr>
              <w:t>, Ph.D.</w:t>
            </w:r>
          </w:p>
        </w:tc>
        <w:tc>
          <w:tcPr>
            <w:tcW w:w="4410" w:type="dxa"/>
            <w:noWrap/>
            <w:hideMark/>
          </w:tcPr>
          <w:p w14:paraId="4338578D" w14:textId="77777777" w:rsidR="002A0D9A" w:rsidRPr="004C5018" w:rsidRDefault="002A0D9A" w:rsidP="002A0D9A">
            <w:pPr>
              <w:rPr>
                <w:sz w:val="22"/>
                <w:szCs w:val="22"/>
              </w:rPr>
            </w:pPr>
            <w:r w:rsidRPr="004C5018">
              <w:rPr>
                <w:sz w:val="22"/>
                <w:szCs w:val="22"/>
              </w:rPr>
              <w:t>tanggangyuan@g.harvard.edu</w:t>
            </w:r>
          </w:p>
        </w:tc>
      </w:tr>
    </w:tbl>
    <w:p w14:paraId="7B1774F8" w14:textId="77777777" w:rsidR="00E918F3" w:rsidRPr="004C5018" w:rsidRDefault="00E918F3" w:rsidP="00C76470">
      <w:pPr>
        <w:jc w:val="both"/>
        <w:rPr>
          <w:b/>
          <w:sz w:val="22"/>
          <w:szCs w:val="22"/>
        </w:rPr>
      </w:pPr>
    </w:p>
    <w:p w14:paraId="28240A0C" w14:textId="7F59B0D0" w:rsidR="00C76470" w:rsidRPr="004C5018" w:rsidRDefault="00C76470" w:rsidP="00C76470">
      <w:pPr>
        <w:jc w:val="both"/>
        <w:rPr>
          <w:sz w:val="22"/>
          <w:szCs w:val="22"/>
        </w:rPr>
      </w:pPr>
      <w:r w:rsidRPr="004C5018">
        <w:rPr>
          <w:b/>
          <w:sz w:val="22"/>
          <w:szCs w:val="22"/>
        </w:rPr>
        <w:t>Lectures:</w:t>
      </w:r>
      <w:r w:rsidR="00297F51" w:rsidRPr="004C5018">
        <w:rPr>
          <w:sz w:val="22"/>
          <w:szCs w:val="22"/>
        </w:rPr>
        <w:t xml:space="preserve"> </w:t>
      </w:r>
      <w:r w:rsidRPr="004C5018">
        <w:rPr>
          <w:sz w:val="22"/>
          <w:szCs w:val="22"/>
        </w:rPr>
        <w:t>Tuesday &amp; Thursdays</w:t>
      </w:r>
      <w:r w:rsidR="00297F51" w:rsidRPr="004C5018">
        <w:rPr>
          <w:sz w:val="22"/>
          <w:szCs w:val="22"/>
        </w:rPr>
        <w:t xml:space="preserve">, </w:t>
      </w:r>
      <w:r w:rsidR="00F33FD0" w:rsidRPr="004C5018">
        <w:rPr>
          <w:sz w:val="22"/>
          <w:szCs w:val="22"/>
        </w:rPr>
        <w:t>12</w:t>
      </w:r>
      <w:r w:rsidRPr="004C5018">
        <w:rPr>
          <w:sz w:val="22"/>
          <w:szCs w:val="22"/>
        </w:rPr>
        <w:t>-</w:t>
      </w:r>
      <w:r w:rsidR="00F33FD0" w:rsidRPr="004C5018">
        <w:rPr>
          <w:sz w:val="22"/>
          <w:szCs w:val="22"/>
        </w:rPr>
        <w:t xml:space="preserve">1:15 </w:t>
      </w:r>
      <w:proofErr w:type="spellStart"/>
      <w:r w:rsidRPr="004C5018">
        <w:rPr>
          <w:sz w:val="22"/>
          <w:szCs w:val="22"/>
        </w:rPr>
        <w:t>p</w:t>
      </w:r>
      <w:r w:rsidR="00F33FD0" w:rsidRPr="004C5018">
        <w:rPr>
          <w:sz w:val="22"/>
          <w:szCs w:val="22"/>
        </w:rPr>
        <w:t>.</w:t>
      </w:r>
      <w:r w:rsidRPr="004C5018">
        <w:rPr>
          <w:sz w:val="22"/>
          <w:szCs w:val="22"/>
        </w:rPr>
        <w:t>m</w:t>
      </w:r>
      <w:proofErr w:type="spellEnd"/>
      <w:r w:rsidR="00527632">
        <w:rPr>
          <w:sz w:val="22"/>
          <w:szCs w:val="22"/>
        </w:rPr>
        <w:t xml:space="preserve"> in </w:t>
      </w:r>
      <w:r w:rsidR="00527632" w:rsidRPr="00527632">
        <w:rPr>
          <w:sz w:val="22"/>
          <w:szCs w:val="22"/>
        </w:rPr>
        <w:t>Sanders Theater</w:t>
      </w:r>
      <w:r w:rsidR="00527632">
        <w:rPr>
          <w:sz w:val="22"/>
          <w:szCs w:val="22"/>
        </w:rPr>
        <w:t xml:space="preserve">, </w:t>
      </w:r>
      <w:r w:rsidR="00527632" w:rsidRPr="00527632">
        <w:rPr>
          <w:sz w:val="22"/>
          <w:szCs w:val="22"/>
        </w:rPr>
        <w:t xml:space="preserve">Memorial Hall, </w:t>
      </w:r>
      <w:hyperlink r:id="rId15" w:history="1">
        <w:r w:rsidR="00527632" w:rsidRPr="00527632">
          <w:rPr>
            <w:rStyle w:val="Hyperlink"/>
            <w:sz w:val="22"/>
            <w:szCs w:val="22"/>
          </w:rPr>
          <w:t>45 Quincy Street</w:t>
        </w:r>
      </w:hyperlink>
    </w:p>
    <w:p w14:paraId="4C1A825B" w14:textId="3007BF24" w:rsidR="00F33FD0" w:rsidRPr="004C5018" w:rsidRDefault="00F33FD0" w:rsidP="00C76470">
      <w:pPr>
        <w:jc w:val="both"/>
        <w:rPr>
          <w:sz w:val="22"/>
          <w:szCs w:val="22"/>
        </w:rPr>
      </w:pPr>
    </w:p>
    <w:p w14:paraId="343C9900" w14:textId="0BCECD00" w:rsidR="00F33FD0" w:rsidRPr="004C5018" w:rsidRDefault="00F33FD0" w:rsidP="00C76470">
      <w:pPr>
        <w:jc w:val="both"/>
        <w:rPr>
          <w:sz w:val="22"/>
          <w:szCs w:val="22"/>
        </w:rPr>
      </w:pPr>
      <w:r w:rsidRPr="004C5018">
        <w:rPr>
          <w:b/>
          <w:sz w:val="22"/>
          <w:szCs w:val="22"/>
        </w:rPr>
        <w:t>Sections:</w:t>
      </w:r>
      <w:r w:rsidRPr="004C5018">
        <w:rPr>
          <w:sz w:val="22"/>
          <w:szCs w:val="22"/>
        </w:rPr>
        <w:t xml:space="preserve"> 1 per week at times to be arranged</w:t>
      </w:r>
      <w:r w:rsidR="00067ECB" w:rsidRPr="004C5018">
        <w:rPr>
          <w:sz w:val="22"/>
          <w:szCs w:val="22"/>
        </w:rPr>
        <w:t>. Sections will be divided into two groups: one for students with no prior coursework in statistics/econometrics and another intended for those who have taken course</w:t>
      </w:r>
      <w:r w:rsidR="005919D9" w:rsidRPr="004C5018">
        <w:rPr>
          <w:sz w:val="22"/>
          <w:szCs w:val="22"/>
        </w:rPr>
        <w:t>s</w:t>
      </w:r>
      <w:r w:rsidR="00067ECB" w:rsidRPr="004C5018">
        <w:rPr>
          <w:sz w:val="22"/>
          <w:szCs w:val="22"/>
        </w:rPr>
        <w:t xml:space="preserve"> in statistics/econometrics. You </w:t>
      </w:r>
      <w:r w:rsidR="00BB7F40" w:rsidRPr="004C5018">
        <w:rPr>
          <w:sz w:val="22"/>
          <w:szCs w:val="22"/>
        </w:rPr>
        <w:t>may choose which type of section you</w:t>
      </w:r>
      <w:r w:rsidR="00101153" w:rsidRPr="004C5018">
        <w:rPr>
          <w:sz w:val="22"/>
          <w:szCs w:val="22"/>
        </w:rPr>
        <w:t xml:space="preserve"> would</w:t>
      </w:r>
      <w:r w:rsidR="00BB7F40" w:rsidRPr="004C5018">
        <w:rPr>
          <w:sz w:val="22"/>
          <w:szCs w:val="22"/>
        </w:rPr>
        <w:t xml:space="preserve"> like to attend depending upon your background</w:t>
      </w:r>
      <w:r w:rsidR="00D73B7D">
        <w:rPr>
          <w:sz w:val="22"/>
          <w:szCs w:val="22"/>
        </w:rPr>
        <w:t>.</w:t>
      </w:r>
      <w:r w:rsidR="007B3EB2" w:rsidRPr="004C5018">
        <w:rPr>
          <w:sz w:val="22"/>
          <w:szCs w:val="22"/>
        </w:rPr>
        <w:t xml:space="preserve"> </w:t>
      </w:r>
      <w:r w:rsidR="00EA0B75" w:rsidRPr="004C5018">
        <w:rPr>
          <w:sz w:val="22"/>
          <w:szCs w:val="22"/>
        </w:rPr>
        <w:t>Kennedy School students must enroll in the more advanced section.</w:t>
      </w:r>
    </w:p>
    <w:p w14:paraId="5D7BA132" w14:textId="77777777" w:rsidR="003F51C3" w:rsidRPr="004C5018" w:rsidRDefault="003F51C3" w:rsidP="007A0AFC">
      <w:pPr>
        <w:jc w:val="both"/>
        <w:rPr>
          <w:b/>
          <w:sz w:val="22"/>
          <w:szCs w:val="22"/>
        </w:rPr>
      </w:pPr>
    </w:p>
    <w:p w14:paraId="4C8BB812" w14:textId="6EAE51A2" w:rsidR="00F64632" w:rsidRPr="004C5018" w:rsidRDefault="00F64632" w:rsidP="007A0AFC">
      <w:pPr>
        <w:jc w:val="both"/>
        <w:rPr>
          <w:sz w:val="22"/>
          <w:szCs w:val="22"/>
        </w:rPr>
      </w:pPr>
      <w:r w:rsidRPr="004C5018">
        <w:rPr>
          <w:b/>
          <w:sz w:val="22"/>
          <w:szCs w:val="22"/>
        </w:rPr>
        <w:t>Course Description:</w:t>
      </w:r>
      <w:r w:rsidR="00023C19" w:rsidRPr="004C5018">
        <w:rPr>
          <w:b/>
          <w:sz w:val="22"/>
          <w:szCs w:val="22"/>
        </w:rPr>
        <w:t xml:space="preserve"> </w:t>
      </w:r>
      <w:r w:rsidRPr="004C5018">
        <w:rPr>
          <w:sz w:val="22"/>
          <w:szCs w:val="22"/>
        </w:rPr>
        <w:t>This course</w:t>
      </w:r>
      <w:r w:rsidR="00BB7F40" w:rsidRPr="004C5018">
        <w:rPr>
          <w:sz w:val="22"/>
          <w:szCs w:val="22"/>
        </w:rPr>
        <w:t xml:space="preserve"> </w:t>
      </w:r>
      <w:r w:rsidRPr="004C5018">
        <w:rPr>
          <w:sz w:val="22"/>
          <w:szCs w:val="22"/>
        </w:rPr>
        <w:t>will show how "big data" can be used to understand and solve some of the most important social and economic problems of our time. The course will give students an introduction to frontier research in applied economics and social science that does not require prior coursework in Economics. Topics include equality of opportunity, education</w:t>
      </w:r>
      <w:r w:rsidR="008541E9" w:rsidRPr="004C5018">
        <w:rPr>
          <w:sz w:val="22"/>
          <w:szCs w:val="22"/>
        </w:rPr>
        <w:t>, innovation and entrepreneurship,</w:t>
      </w:r>
      <w:r w:rsidRPr="004C5018">
        <w:rPr>
          <w:sz w:val="22"/>
          <w:szCs w:val="22"/>
        </w:rPr>
        <w:t xml:space="preserve"> health</w:t>
      </w:r>
      <w:r w:rsidR="008541E9" w:rsidRPr="004C5018">
        <w:rPr>
          <w:sz w:val="22"/>
          <w:szCs w:val="22"/>
        </w:rPr>
        <w:t xml:space="preserve"> care</w:t>
      </w:r>
      <w:r w:rsidRPr="004C5018">
        <w:rPr>
          <w:sz w:val="22"/>
          <w:szCs w:val="22"/>
        </w:rPr>
        <w:t xml:space="preserve">, </w:t>
      </w:r>
      <w:r w:rsidR="008541E9" w:rsidRPr="004C5018">
        <w:rPr>
          <w:sz w:val="22"/>
          <w:szCs w:val="22"/>
        </w:rPr>
        <w:t>climate change, and</w:t>
      </w:r>
      <w:r w:rsidRPr="004C5018">
        <w:rPr>
          <w:sz w:val="22"/>
          <w:szCs w:val="22"/>
        </w:rPr>
        <w:t xml:space="preserve"> crime. In the context of these topics, the course will also provide an introduction to basic statistical methods and data analysis techniques, including regression analysis, causal inference, quasi-experimental methods, and machine learning. The course will include </w:t>
      </w:r>
      <w:r w:rsidR="008541E9" w:rsidRPr="004C5018">
        <w:rPr>
          <w:sz w:val="22"/>
          <w:szCs w:val="22"/>
        </w:rPr>
        <w:t xml:space="preserve">discussions with leading </w:t>
      </w:r>
      <w:r w:rsidR="003F51C3" w:rsidRPr="004C5018">
        <w:rPr>
          <w:sz w:val="22"/>
          <w:szCs w:val="22"/>
        </w:rPr>
        <w:t xml:space="preserve">practitioners </w:t>
      </w:r>
      <w:r w:rsidR="008541E9" w:rsidRPr="004C5018">
        <w:rPr>
          <w:sz w:val="22"/>
          <w:szCs w:val="22"/>
        </w:rPr>
        <w:t xml:space="preserve">who </w:t>
      </w:r>
      <w:r w:rsidRPr="004C5018">
        <w:rPr>
          <w:sz w:val="22"/>
          <w:szCs w:val="22"/>
        </w:rPr>
        <w:t xml:space="preserve">will discuss </w:t>
      </w:r>
      <w:r w:rsidR="008541E9" w:rsidRPr="004C5018">
        <w:rPr>
          <w:sz w:val="22"/>
          <w:szCs w:val="22"/>
        </w:rPr>
        <w:t>how they use big data in real-world applications.</w:t>
      </w:r>
    </w:p>
    <w:p w14:paraId="307E9363" w14:textId="02E90739" w:rsidR="00D871AB" w:rsidRPr="004C5018" w:rsidRDefault="00D871AB" w:rsidP="007A0AFC">
      <w:pPr>
        <w:jc w:val="both"/>
        <w:rPr>
          <w:b/>
          <w:sz w:val="22"/>
          <w:szCs w:val="22"/>
        </w:rPr>
      </w:pPr>
    </w:p>
    <w:p w14:paraId="40C6C968" w14:textId="5CBE3BE7" w:rsidR="00D871AB" w:rsidRPr="004C5018" w:rsidRDefault="00D871AB" w:rsidP="007A0AFC">
      <w:pPr>
        <w:jc w:val="both"/>
        <w:rPr>
          <w:sz w:val="22"/>
          <w:szCs w:val="22"/>
        </w:rPr>
      </w:pPr>
      <w:r w:rsidRPr="004C5018">
        <w:rPr>
          <w:b/>
          <w:sz w:val="22"/>
          <w:szCs w:val="22"/>
        </w:rPr>
        <w:t xml:space="preserve">Note: </w:t>
      </w:r>
      <w:r w:rsidRPr="004C5018">
        <w:rPr>
          <w:sz w:val="22"/>
          <w:szCs w:val="22"/>
        </w:rPr>
        <w:t xml:space="preserve">This class (when taken for a letter grade) meets the writing elective requirement for the </w:t>
      </w:r>
      <w:r w:rsidR="00E62A8D">
        <w:rPr>
          <w:sz w:val="22"/>
          <w:szCs w:val="22"/>
        </w:rPr>
        <w:t>E</w:t>
      </w:r>
      <w:r w:rsidRPr="004C5018">
        <w:rPr>
          <w:sz w:val="22"/>
          <w:szCs w:val="22"/>
        </w:rPr>
        <w:t>conomics concentration.  It also is an approved economics elective for the Applied Math-Economics concentration.  It satisfies the Empirical and Mathematical Reasoning general education requirement.</w:t>
      </w:r>
    </w:p>
    <w:p w14:paraId="3A0864E0" w14:textId="77777777" w:rsidR="00F64632" w:rsidRPr="004C5018" w:rsidRDefault="00F64632" w:rsidP="00124214">
      <w:pPr>
        <w:jc w:val="both"/>
        <w:rPr>
          <w:sz w:val="22"/>
          <w:szCs w:val="22"/>
        </w:rPr>
      </w:pPr>
    </w:p>
    <w:p w14:paraId="6AB27002" w14:textId="5EC6C00F" w:rsidR="00023C19" w:rsidRDefault="00023C19" w:rsidP="00124214">
      <w:pPr>
        <w:jc w:val="both"/>
        <w:rPr>
          <w:sz w:val="22"/>
          <w:szCs w:val="22"/>
        </w:rPr>
      </w:pPr>
      <w:r w:rsidRPr="004C5018">
        <w:rPr>
          <w:b/>
          <w:sz w:val="22"/>
          <w:szCs w:val="22"/>
        </w:rPr>
        <w:t xml:space="preserve">Goals: </w:t>
      </w:r>
      <w:r w:rsidRPr="004C5018">
        <w:rPr>
          <w:sz w:val="22"/>
          <w:szCs w:val="22"/>
        </w:rPr>
        <w:t>The course has three principal learning objectives: 1) to introduce students to frontier social science research on key social and economic issues, 2) to tea</w:t>
      </w:r>
      <w:r w:rsidR="00A42BF3" w:rsidRPr="004C5018">
        <w:rPr>
          <w:sz w:val="22"/>
          <w:szCs w:val="22"/>
        </w:rPr>
        <w:t>ch students how to analyze data</w:t>
      </w:r>
      <w:r w:rsidR="008541E9" w:rsidRPr="004C5018">
        <w:rPr>
          <w:sz w:val="22"/>
          <w:szCs w:val="22"/>
        </w:rPr>
        <w:t xml:space="preserve"> using </w:t>
      </w:r>
      <w:r w:rsidR="008F58CE" w:rsidRPr="004C5018">
        <w:rPr>
          <w:sz w:val="22"/>
          <w:szCs w:val="22"/>
        </w:rPr>
        <w:lastRenderedPageBreak/>
        <w:t xml:space="preserve">modern </w:t>
      </w:r>
      <w:r w:rsidR="008541E9" w:rsidRPr="004C5018">
        <w:rPr>
          <w:sz w:val="22"/>
          <w:szCs w:val="22"/>
        </w:rPr>
        <w:t>quantitative methods</w:t>
      </w:r>
      <w:r w:rsidR="008F58CE" w:rsidRPr="004C5018">
        <w:rPr>
          <w:sz w:val="22"/>
          <w:szCs w:val="22"/>
        </w:rPr>
        <w:t xml:space="preserve"> and basic programming techniques</w:t>
      </w:r>
      <w:r w:rsidRPr="004C5018">
        <w:rPr>
          <w:sz w:val="22"/>
          <w:szCs w:val="22"/>
        </w:rPr>
        <w:t xml:space="preserve">, and 3) to show students to how practitioners </w:t>
      </w:r>
      <w:r w:rsidR="008F58CE" w:rsidRPr="004C5018">
        <w:rPr>
          <w:sz w:val="22"/>
          <w:szCs w:val="22"/>
        </w:rPr>
        <w:t>are using</w:t>
      </w:r>
      <w:r w:rsidR="0026732C" w:rsidRPr="004C5018">
        <w:rPr>
          <w:sz w:val="22"/>
          <w:szCs w:val="22"/>
        </w:rPr>
        <w:t xml:space="preserve"> </w:t>
      </w:r>
      <w:r w:rsidR="008F58CE" w:rsidRPr="004C5018">
        <w:rPr>
          <w:sz w:val="22"/>
          <w:szCs w:val="22"/>
        </w:rPr>
        <w:t>data</w:t>
      </w:r>
      <w:r w:rsidR="0026732C" w:rsidRPr="004C5018">
        <w:rPr>
          <w:sz w:val="22"/>
          <w:szCs w:val="22"/>
        </w:rPr>
        <w:t xml:space="preserve"> to analyze social problems.</w:t>
      </w:r>
    </w:p>
    <w:p w14:paraId="09C2F0BF" w14:textId="77777777" w:rsidR="00D50D13" w:rsidRPr="004C5018" w:rsidRDefault="00D50D13" w:rsidP="00124214">
      <w:pPr>
        <w:jc w:val="both"/>
        <w:rPr>
          <w:sz w:val="22"/>
          <w:szCs w:val="22"/>
        </w:rPr>
      </w:pPr>
    </w:p>
    <w:p w14:paraId="4D5D2170" w14:textId="77777777" w:rsidR="006B08A4" w:rsidRPr="004C5018" w:rsidRDefault="006B08A4" w:rsidP="006B08A4">
      <w:pPr>
        <w:jc w:val="both"/>
        <w:rPr>
          <w:sz w:val="22"/>
          <w:szCs w:val="22"/>
        </w:rPr>
      </w:pPr>
      <w:r w:rsidRPr="004C5018">
        <w:rPr>
          <w:b/>
          <w:sz w:val="22"/>
          <w:szCs w:val="22"/>
        </w:rPr>
        <w:t>Academic Accommodations:</w:t>
      </w:r>
      <w:r w:rsidRPr="004C5018">
        <w:rPr>
          <w:sz w:val="22"/>
          <w:szCs w:val="22"/>
        </w:rPr>
        <w:t xml:space="preserve"> Students needing academic accommodations because of a documented disability must present their Faculty Letter from the Accessible Education Office (AEO) by Thursday, February 7.</w:t>
      </w:r>
    </w:p>
    <w:p w14:paraId="08D8A1A1" w14:textId="77777777" w:rsidR="006B08A4" w:rsidRPr="004C5018" w:rsidRDefault="006B08A4" w:rsidP="006B08A4">
      <w:pPr>
        <w:jc w:val="both"/>
        <w:rPr>
          <w:sz w:val="22"/>
          <w:szCs w:val="22"/>
        </w:rPr>
      </w:pPr>
    </w:p>
    <w:p w14:paraId="79BD4C17" w14:textId="6D52DE6E" w:rsidR="006B08A4" w:rsidRPr="004C5018" w:rsidRDefault="006B08A4" w:rsidP="006B08A4">
      <w:pPr>
        <w:jc w:val="both"/>
        <w:rPr>
          <w:sz w:val="22"/>
          <w:szCs w:val="22"/>
        </w:rPr>
      </w:pPr>
      <w:r w:rsidRPr="004C5018">
        <w:rPr>
          <w:b/>
          <w:sz w:val="22"/>
          <w:szCs w:val="22"/>
        </w:rPr>
        <w:t>Grading</w:t>
      </w:r>
      <w:r w:rsidRPr="004C5018">
        <w:rPr>
          <w:sz w:val="22"/>
          <w:szCs w:val="22"/>
        </w:rPr>
        <w:t xml:space="preserve">: </w:t>
      </w:r>
      <w:r w:rsidR="00BD4513" w:rsidRPr="004C5018">
        <w:rPr>
          <w:sz w:val="22"/>
          <w:szCs w:val="22"/>
        </w:rPr>
        <w:t>Grades will be based on a midterm exam (30 percent), final exam (4</w:t>
      </w:r>
      <w:r w:rsidR="00067ECB" w:rsidRPr="004C5018">
        <w:rPr>
          <w:sz w:val="22"/>
          <w:szCs w:val="22"/>
        </w:rPr>
        <w:t>0</w:t>
      </w:r>
      <w:r w:rsidR="00BD4513" w:rsidRPr="004C5018">
        <w:rPr>
          <w:sz w:val="22"/>
          <w:szCs w:val="22"/>
        </w:rPr>
        <w:t xml:space="preserve"> percent),</w:t>
      </w:r>
      <w:r w:rsidR="00977FBF" w:rsidRPr="004C5018">
        <w:rPr>
          <w:sz w:val="22"/>
          <w:szCs w:val="22"/>
        </w:rPr>
        <w:t xml:space="preserve"> </w:t>
      </w:r>
      <w:proofErr w:type="gramStart"/>
      <w:r w:rsidR="00977FBF" w:rsidRPr="004C5018">
        <w:rPr>
          <w:sz w:val="22"/>
          <w:szCs w:val="22"/>
        </w:rPr>
        <w:t>four</w:t>
      </w:r>
      <w:r w:rsidR="00BD4513" w:rsidRPr="004C5018">
        <w:rPr>
          <w:sz w:val="22"/>
          <w:szCs w:val="22"/>
        </w:rPr>
        <w:t xml:space="preserve">  empirical</w:t>
      </w:r>
      <w:proofErr w:type="gramEnd"/>
      <w:r w:rsidR="00BD4513" w:rsidRPr="004C5018">
        <w:rPr>
          <w:sz w:val="22"/>
          <w:szCs w:val="22"/>
        </w:rPr>
        <w:t xml:space="preserve"> projects (2</w:t>
      </w:r>
      <w:r w:rsidR="00067ECB" w:rsidRPr="004C5018">
        <w:rPr>
          <w:sz w:val="22"/>
          <w:szCs w:val="22"/>
        </w:rPr>
        <w:t>5</w:t>
      </w:r>
      <w:r w:rsidR="00BD4513" w:rsidRPr="004C5018">
        <w:rPr>
          <w:sz w:val="22"/>
          <w:szCs w:val="22"/>
        </w:rPr>
        <w:t xml:space="preserve"> percent), and </w:t>
      </w:r>
      <w:r w:rsidR="00072581" w:rsidRPr="004C5018">
        <w:rPr>
          <w:sz w:val="22"/>
          <w:szCs w:val="22"/>
        </w:rPr>
        <w:t xml:space="preserve">lecture </w:t>
      </w:r>
      <w:r w:rsidR="00BD4513" w:rsidRPr="004C5018">
        <w:rPr>
          <w:sz w:val="22"/>
          <w:szCs w:val="22"/>
        </w:rPr>
        <w:t>attendance (5 percent).  Graduating seniors who are finishing theses this semester may choose to omit the midterm and have their grade based on the final exam (7</w:t>
      </w:r>
      <w:r w:rsidR="001D75E3" w:rsidRPr="004C5018">
        <w:rPr>
          <w:sz w:val="22"/>
          <w:szCs w:val="22"/>
        </w:rPr>
        <w:t>0</w:t>
      </w:r>
      <w:r w:rsidR="00BD4513" w:rsidRPr="004C5018">
        <w:rPr>
          <w:sz w:val="22"/>
          <w:szCs w:val="22"/>
        </w:rPr>
        <w:t xml:space="preserve"> percent), empirical projects (</w:t>
      </w:r>
      <w:r w:rsidR="00B26D97" w:rsidRPr="004C5018">
        <w:rPr>
          <w:sz w:val="22"/>
          <w:szCs w:val="22"/>
        </w:rPr>
        <w:t>2</w:t>
      </w:r>
      <w:r w:rsidR="001D75E3" w:rsidRPr="004C5018">
        <w:rPr>
          <w:sz w:val="22"/>
          <w:szCs w:val="22"/>
        </w:rPr>
        <w:t>5</w:t>
      </w:r>
      <w:r w:rsidR="00BD4513" w:rsidRPr="004C5018">
        <w:rPr>
          <w:sz w:val="22"/>
          <w:szCs w:val="22"/>
        </w:rPr>
        <w:t xml:space="preserve"> percent), and</w:t>
      </w:r>
      <w:r w:rsidR="00410BAA" w:rsidRPr="004C5018">
        <w:rPr>
          <w:sz w:val="22"/>
          <w:szCs w:val="22"/>
        </w:rPr>
        <w:t xml:space="preserve"> lecture</w:t>
      </w:r>
      <w:r w:rsidR="00BD4513" w:rsidRPr="004C5018">
        <w:rPr>
          <w:sz w:val="22"/>
          <w:szCs w:val="22"/>
        </w:rPr>
        <w:t xml:space="preserve"> attendance</w:t>
      </w:r>
      <w:r w:rsidR="00B26D97" w:rsidRPr="004C5018">
        <w:rPr>
          <w:sz w:val="22"/>
          <w:szCs w:val="22"/>
        </w:rPr>
        <w:t xml:space="preserve"> </w:t>
      </w:r>
      <w:r w:rsidR="00BD4513" w:rsidRPr="004C5018">
        <w:rPr>
          <w:sz w:val="22"/>
          <w:szCs w:val="22"/>
        </w:rPr>
        <w:t>(5</w:t>
      </w:r>
      <w:r w:rsidR="00D111D5" w:rsidRPr="004C5018">
        <w:rPr>
          <w:sz w:val="22"/>
          <w:szCs w:val="22"/>
        </w:rPr>
        <w:t xml:space="preserve"> percent</w:t>
      </w:r>
      <w:r w:rsidR="00BD4513" w:rsidRPr="004C5018">
        <w:rPr>
          <w:sz w:val="22"/>
          <w:szCs w:val="22"/>
        </w:rPr>
        <w:t>)</w:t>
      </w:r>
      <w:r w:rsidR="00464203" w:rsidRPr="004C5018">
        <w:rPr>
          <w:sz w:val="22"/>
          <w:szCs w:val="22"/>
        </w:rPr>
        <w:t xml:space="preserve">. See </w:t>
      </w:r>
      <w:r w:rsidR="00B6552B" w:rsidRPr="004C5018">
        <w:rPr>
          <w:sz w:val="22"/>
          <w:szCs w:val="22"/>
        </w:rPr>
        <w:t>below</w:t>
      </w:r>
      <w:r w:rsidR="00464203" w:rsidRPr="004C5018">
        <w:rPr>
          <w:sz w:val="22"/>
          <w:szCs w:val="22"/>
        </w:rPr>
        <w:t xml:space="preserve"> for tentative dates for each of these assignments and exams.</w:t>
      </w:r>
    </w:p>
    <w:p w14:paraId="07982F56" w14:textId="77777777" w:rsidR="00B6552B" w:rsidRPr="004C5018" w:rsidRDefault="00B6552B" w:rsidP="00B6552B">
      <w:pPr>
        <w:rPr>
          <w:b/>
          <w:sz w:val="22"/>
          <w:szCs w:val="22"/>
        </w:rPr>
      </w:pPr>
    </w:p>
    <w:p w14:paraId="22D93EA8" w14:textId="435CB565" w:rsidR="00B6552B" w:rsidRPr="004C5018" w:rsidRDefault="00B6552B" w:rsidP="00F8145F">
      <w:pPr>
        <w:jc w:val="center"/>
        <w:rPr>
          <w:b/>
          <w:sz w:val="22"/>
          <w:szCs w:val="22"/>
        </w:rPr>
      </w:pPr>
      <w:r w:rsidRPr="004C5018">
        <w:rPr>
          <w:b/>
          <w:sz w:val="22"/>
          <w:szCs w:val="22"/>
        </w:rPr>
        <w:t>Schedule for Exams and Empirical Projects</w:t>
      </w:r>
    </w:p>
    <w:tbl>
      <w:tblPr>
        <w:tblW w:w="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60"/>
        <w:gridCol w:w="990"/>
      </w:tblGrid>
      <w:tr w:rsidR="00B6552B" w:rsidRPr="004C5018" w14:paraId="7EFEDFE5" w14:textId="77777777" w:rsidTr="00985086">
        <w:trPr>
          <w:trHeight w:val="288"/>
          <w:jc w:val="center"/>
        </w:trPr>
        <w:tc>
          <w:tcPr>
            <w:tcW w:w="2160" w:type="dxa"/>
            <w:shd w:val="clear" w:color="auto" w:fill="auto"/>
            <w:noWrap/>
            <w:vAlign w:val="bottom"/>
            <w:hideMark/>
          </w:tcPr>
          <w:p w14:paraId="03456550" w14:textId="77777777" w:rsidR="00B6552B" w:rsidRPr="004C5018" w:rsidRDefault="00B6552B" w:rsidP="00985086">
            <w:pPr>
              <w:rPr>
                <w:sz w:val="22"/>
                <w:szCs w:val="22"/>
              </w:rPr>
            </w:pPr>
          </w:p>
        </w:tc>
        <w:tc>
          <w:tcPr>
            <w:tcW w:w="1260" w:type="dxa"/>
            <w:shd w:val="clear" w:color="auto" w:fill="auto"/>
            <w:noWrap/>
            <w:vAlign w:val="bottom"/>
            <w:hideMark/>
          </w:tcPr>
          <w:p w14:paraId="184C5CF8" w14:textId="4D3A33A6" w:rsidR="00B6552B" w:rsidRPr="004C5018" w:rsidRDefault="00F8145F" w:rsidP="00985086">
            <w:pPr>
              <w:jc w:val="center"/>
              <w:rPr>
                <w:b/>
                <w:color w:val="000000"/>
                <w:sz w:val="22"/>
                <w:szCs w:val="22"/>
              </w:rPr>
            </w:pPr>
            <w:r w:rsidRPr="004C5018">
              <w:rPr>
                <w:b/>
                <w:color w:val="000000"/>
                <w:sz w:val="22"/>
                <w:szCs w:val="22"/>
              </w:rPr>
              <w:t>Assigned</w:t>
            </w:r>
          </w:p>
        </w:tc>
        <w:tc>
          <w:tcPr>
            <w:tcW w:w="990" w:type="dxa"/>
            <w:shd w:val="clear" w:color="auto" w:fill="auto"/>
            <w:noWrap/>
            <w:vAlign w:val="bottom"/>
            <w:hideMark/>
          </w:tcPr>
          <w:p w14:paraId="449764B2" w14:textId="77777777" w:rsidR="00B6552B" w:rsidRPr="004C5018" w:rsidRDefault="00B6552B" w:rsidP="00985086">
            <w:pPr>
              <w:jc w:val="center"/>
              <w:rPr>
                <w:b/>
                <w:color w:val="000000"/>
                <w:sz w:val="22"/>
                <w:szCs w:val="22"/>
              </w:rPr>
            </w:pPr>
            <w:r w:rsidRPr="004C5018">
              <w:rPr>
                <w:b/>
                <w:color w:val="000000"/>
                <w:sz w:val="22"/>
                <w:szCs w:val="22"/>
              </w:rPr>
              <w:t>Due</w:t>
            </w:r>
          </w:p>
        </w:tc>
      </w:tr>
      <w:tr w:rsidR="00B6552B" w:rsidRPr="004C5018" w14:paraId="3AB7FF5D" w14:textId="77777777" w:rsidTr="00985086">
        <w:trPr>
          <w:trHeight w:val="288"/>
          <w:jc w:val="center"/>
        </w:trPr>
        <w:tc>
          <w:tcPr>
            <w:tcW w:w="2160" w:type="dxa"/>
            <w:shd w:val="clear" w:color="auto" w:fill="auto"/>
            <w:noWrap/>
            <w:vAlign w:val="bottom"/>
            <w:hideMark/>
          </w:tcPr>
          <w:p w14:paraId="12E04F3A" w14:textId="77777777" w:rsidR="00B6552B" w:rsidRPr="004C5018" w:rsidRDefault="00B6552B" w:rsidP="00985086">
            <w:pPr>
              <w:rPr>
                <w:color w:val="000000"/>
                <w:sz w:val="22"/>
                <w:szCs w:val="22"/>
              </w:rPr>
            </w:pPr>
            <w:r w:rsidRPr="004C5018">
              <w:rPr>
                <w:color w:val="000000"/>
                <w:sz w:val="22"/>
                <w:szCs w:val="22"/>
              </w:rPr>
              <w:t>Empirical Project 1</w:t>
            </w:r>
          </w:p>
        </w:tc>
        <w:tc>
          <w:tcPr>
            <w:tcW w:w="1260" w:type="dxa"/>
            <w:shd w:val="clear" w:color="auto" w:fill="auto"/>
            <w:noWrap/>
            <w:vAlign w:val="bottom"/>
            <w:hideMark/>
          </w:tcPr>
          <w:p w14:paraId="424C2170" w14:textId="77777777" w:rsidR="00B6552B" w:rsidRPr="004C5018" w:rsidRDefault="00B6552B" w:rsidP="00985086">
            <w:pPr>
              <w:jc w:val="center"/>
              <w:rPr>
                <w:color w:val="000000"/>
                <w:sz w:val="22"/>
                <w:szCs w:val="22"/>
              </w:rPr>
            </w:pPr>
            <w:r w:rsidRPr="004C5018">
              <w:rPr>
                <w:color w:val="000000"/>
                <w:sz w:val="22"/>
                <w:szCs w:val="22"/>
              </w:rPr>
              <w:t>2/7</w:t>
            </w:r>
          </w:p>
        </w:tc>
        <w:tc>
          <w:tcPr>
            <w:tcW w:w="990" w:type="dxa"/>
            <w:shd w:val="clear" w:color="auto" w:fill="auto"/>
            <w:noWrap/>
            <w:vAlign w:val="bottom"/>
            <w:hideMark/>
          </w:tcPr>
          <w:p w14:paraId="7DAB9675" w14:textId="77777777" w:rsidR="00B6552B" w:rsidRPr="004C5018" w:rsidRDefault="00B6552B" w:rsidP="00985086">
            <w:pPr>
              <w:jc w:val="center"/>
              <w:rPr>
                <w:color w:val="000000"/>
                <w:sz w:val="22"/>
                <w:szCs w:val="22"/>
              </w:rPr>
            </w:pPr>
            <w:r w:rsidRPr="004C5018">
              <w:rPr>
                <w:color w:val="000000"/>
                <w:sz w:val="22"/>
                <w:szCs w:val="22"/>
              </w:rPr>
              <w:t>2/21</w:t>
            </w:r>
          </w:p>
        </w:tc>
      </w:tr>
      <w:tr w:rsidR="00B6552B" w:rsidRPr="004C5018" w14:paraId="3E1E7982" w14:textId="77777777" w:rsidTr="00985086">
        <w:trPr>
          <w:trHeight w:val="288"/>
          <w:jc w:val="center"/>
        </w:trPr>
        <w:tc>
          <w:tcPr>
            <w:tcW w:w="2160" w:type="dxa"/>
            <w:shd w:val="clear" w:color="auto" w:fill="auto"/>
            <w:noWrap/>
            <w:vAlign w:val="bottom"/>
            <w:hideMark/>
          </w:tcPr>
          <w:p w14:paraId="3FCC6C2D" w14:textId="77777777" w:rsidR="00B6552B" w:rsidRPr="004C5018" w:rsidRDefault="00B6552B" w:rsidP="00985086">
            <w:pPr>
              <w:rPr>
                <w:color w:val="000000"/>
                <w:sz w:val="22"/>
                <w:szCs w:val="22"/>
              </w:rPr>
            </w:pPr>
            <w:r w:rsidRPr="004C5018">
              <w:rPr>
                <w:color w:val="000000"/>
                <w:sz w:val="22"/>
                <w:szCs w:val="22"/>
              </w:rPr>
              <w:t>Empirical Project 2</w:t>
            </w:r>
          </w:p>
        </w:tc>
        <w:tc>
          <w:tcPr>
            <w:tcW w:w="1260" w:type="dxa"/>
            <w:shd w:val="clear" w:color="auto" w:fill="auto"/>
            <w:noWrap/>
            <w:vAlign w:val="bottom"/>
            <w:hideMark/>
          </w:tcPr>
          <w:p w14:paraId="205EC893" w14:textId="77777777" w:rsidR="00B6552B" w:rsidRPr="004C5018" w:rsidRDefault="00B6552B" w:rsidP="00985086">
            <w:pPr>
              <w:jc w:val="center"/>
              <w:rPr>
                <w:color w:val="000000"/>
                <w:sz w:val="22"/>
                <w:szCs w:val="22"/>
              </w:rPr>
            </w:pPr>
            <w:r w:rsidRPr="004C5018">
              <w:rPr>
                <w:color w:val="000000"/>
                <w:sz w:val="22"/>
                <w:szCs w:val="22"/>
              </w:rPr>
              <w:t>2/21</w:t>
            </w:r>
          </w:p>
        </w:tc>
        <w:tc>
          <w:tcPr>
            <w:tcW w:w="990" w:type="dxa"/>
            <w:shd w:val="clear" w:color="auto" w:fill="auto"/>
            <w:noWrap/>
            <w:vAlign w:val="bottom"/>
            <w:hideMark/>
          </w:tcPr>
          <w:p w14:paraId="6F417B27" w14:textId="77777777" w:rsidR="00B6552B" w:rsidRPr="004C5018" w:rsidRDefault="00B6552B" w:rsidP="00985086">
            <w:pPr>
              <w:jc w:val="center"/>
              <w:rPr>
                <w:color w:val="000000"/>
                <w:sz w:val="22"/>
                <w:szCs w:val="22"/>
              </w:rPr>
            </w:pPr>
            <w:r w:rsidRPr="004C5018">
              <w:rPr>
                <w:color w:val="000000"/>
                <w:sz w:val="22"/>
                <w:szCs w:val="22"/>
              </w:rPr>
              <w:t>3/7</w:t>
            </w:r>
          </w:p>
        </w:tc>
      </w:tr>
      <w:tr w:rsidR="00B6552B" w:rsidRPr="004C5018" w14:paraId="683BF6B9" w14:textId="77777777" w:rsidTr="00985086">
        <w:trPr>
          <w:trHeight w:val="288"/>
          <w:jc w:val="center"/>
        </w:trPr>
        <w:tc>
          <w:tcPr>
            <w:tcW w:w="2160" w:type="dxa"/>
            <w:shd w:val="clear" w:color="auto" w:fill="auto"/>
            <w:noWrap/>
            <w:vAlign w:val="bottom"/>
            <w:hideMark/>
          </w:tcPr>
          <w:p w14:paraId="32285143" w14:textId="77777777" w:rsidR="00B6552B" w:rsidRPr="004C5018" w:rsidRDefault="00B6552B" w:rsidP="00985086">
            <w:pPr>
              <w:rPr>
                <w:color w:val="000000"/>
                <w:sz w:val="22"/>
                <w:szCs w:val="22"/>
              </w:rPr>
            </w:pPr>
            <w:r w:rsidRPr="004C5018">
              <w:rPr>
                <w:color w:val="000000"/>
                <w:sz w:val="22"/>
                <w:szCs w:val="22"/>
              </w:rPr>
              <w:t>Midterm</w:t>
            </w:r>
          </w:p>
        </w:tc>
        <w:tc>
          <w:tcPr>
            <w:tcW w:w="2250" w:type="dxa"/>
            <w:gridSpan w:val="2"/>
            <w:shd w:val="clear" w:color="auto" w:fill="auto"/>
            <w:noWrap/>
            <w:vAlign w:val="bottom"/>
            <w:hideMark/>
          </w:tcPr>
          <w:p w14:paraId="4FC2336F" w14:textId="77777777" w:rsidR="00B6552B" w:rsidRPr="004C5018" w:rsidRDefault="00B6552B" w:rsidP="00985086">
            <w:pPr>
              <w:rPr>
                <w:color w:val="000000"/>
                <w:sz w:val="22"/>
                <w:szCs w:val="22"/>
              </w:rPr>
            </w:pPr>
            <w:r w:rsidRPr="004C5018">
              <w:rPr>
                <w:color w:val="000000"/>
                <w:sz w:val="22"/>
                <w:szCs w:val="22"/>
              </w:rPr>
              <w:t>March 14 (in class)</w:t>
            </w:r>
          </w:p>
        </w:tc>
      </w:tr>
      <w:tr w:rsidR="00B6552B" w:rsidRPr="004C5018" w14:paraId="7C8D22BB" w14:textId="77777777" w:rsidTr="00985086">
        <w:trPr>
          <w:trHeight w:val="288"/>
          <w:jc w:val="center"/>
        </w:trPr>
        <w:tc>
          <w:tcPr>
            <w:tcW w:w="2160" w:type="dxa"/>
            <w:shd w:val="clear" w:color="auto" w:fill="auto"/>
            <w:noWrap/>
            <w:vAlign w:val="bottom"/>
            <w:hideMark/>
          </w:tcPr>
          <w:p w14:paraId="5F750965" w14:textId="77777777" w:rsidR="00B6552B" w:rsidRPr="004C5018" w:rsidRDefault="00B6552B" w:rsidP="00985086">
            <w:pPr>
              <w:rPr>
                <w:color w:val="000000"/>
                <w:sz w:val="22"/>
                <w:szCs w:val="22"/>
              </w:rPr>
            </w:pPr>
            <w:r w:rsidRPr="004C5018">
              <w:rPr>
                <w:color w:val="000000"/>
                <w:sz w:val="22"/>
                <w:szCs w:val="22"/>
              </w:rPr>
              <w:t>Empirical Project 3</w:t>
            </w:r>
          </w:p>
        </w:tc>
        <w:tc>
          <w:tcPr>
            <w:tcW w:w="1260" w:type="dxa"/>
            <w:shd w:val="clear" w:color="auto" w:fill="auto"/>
            <w:noWrap/>
            <w:vAlign w:val="bottom"/>
            <w:hideMark/>
          </w:tcPr>
          <w:p w14:paraId="27F66101" w14:textId="77777777" w:rsidR="00B6552B" w:rsidRPr="004C5018" w:rsidRDefault="00B6552B" w:rsidP="00985086">
            <w:pPr>
              <w:jc w:val="center"/>
              <w:rPr>
                <w:color w:val="000000"/>
                <w:sz w:val="22"/>
                <w:szCs w:val="22"/>
              </w:rPr>
            </w:pPr>
            <w:r w:rsidRPr="004C5018">
              <w:rPr>
                <w:color w:val="000000"/>
                <w:sz w:val="22"/>
                <w:szCs w:val="22"/>
              </w:rPr>
              <w:t>4/4</w:t>
            </w:r>
          </w:p>
        </w:tc>
        <w:tc>
          <w:tcPr>
            <w:tcW w:w="990" w:type="dxa"/>
            <w:shd w:val="clear" w:color="auto" w:fill="auto"/>
            <w:noWrap/>
            <w:vAlign w:val="bottom"/>
            <w:hideMark/>
          </w:tcPr>
          <w:p w14:paraId="31F419C3" w14:textId="77777777" w:rsidR="00B6552B" w:rsidRPr="004C5018" w:rsidRDefault="00B6552B" w:rsidP="00985086">
            <w:pPr>
              <w:jc w:val="center"/>
              <w:rPr>
                <w:color w:val="000000"/>
                <w:sz w:val="22"/>
                <w:szCs w:val="22"/>
              </w:rPr>
            </w:pPr>
            <w:r w:rsidRPr="004C5018">
              <w:rPr>
                <w:color w:val="000000"/>
                <w:sz w:val="22"/>
                <w:szCs w:val="22"/>
              </w:rPr>
              <w:t>4/18</w:t>
            </w:r>
          </w:p>
        </w:tc>
      </w:tr>
      <w:tr w:rsidR="00B6552B" w:rsidRPr="004C5018" w14:paraId="01D12F67" w14:textId="77777777" w:rsidTr="00985086">
        <w:trPr>
          <w:trHeight w:val="288"/>
          <w:jc w:val="center"/>
        </w:trPr>
        <w:tc>
          <w:tcPr>
            <w:tcW w:w="2160" w:type="dxa"/>
            <w:shd w:val="clear" w:color="auto" w:fill="auto"/>
            <w:noWrap/>
            <w:vAlign w:val="bottom"/>
            <w:hideMark/>
          </w:tcPr>
          <w:p w14:paraId="4D7A586B" w14:textId="77777777" w:rsidR="00B6552B" w:rsidRPr="004C5018" w:rsidRDefault="00B6552B" w:rsidP="00985086">
            <w:pPr>
              <w:rPr>
                <w:color w:val="000000"/>
                <w:sz w:val="22"/>
                <w:szCs w:val="22"/>
              </w:rPr>
            </w:pPr>
            <w:r w:rsidRPr="004C5018">
              <w:rPr>
                <w:color w:val="000000"/>
                <w:sz w:val="22"/>
                <w:szCs w:val="22"/>
              </w:rPr>
              <w:t>Empirical Project 4</w:t>
            </w:r>
          </w:p>
        </w:tc>
        <w:tc>
          <w:tcPr>
            <w:tcW w:w="1260" w:type="dxa"/>
            <w:shd w:val="clear" w:color="auto" w:fill="auto"/>
            <w:noWrap/>
            <w:vAlign w:val="bottom"/>
            <w:hideMark/>
          </w:tcPr>
          <w:p w14:paraId="699EDDB4" w14:textId="77777777" w:rsidR="00B6552B" w:rsidRPr="004C5018" w:rsidRDefault="00B6552B" w:rsidP="00985086">
            <w:pPr>
              <w:jc w:val="center"/>
              <w:rPr>
                <w:color w:val="000000"/>
                <w:sz w:val="22"/>
                <w:szCs w:val="22"/>
              </w:rPr>
            </w:pPr>
            <w:r w:rsidRPr="004C5018">
              <w:rPr>
                <w:color w:val="000000"/>
                <w:sz w:val="22"/>
                <w:szCs w:val="22"/>
              </w:rPr>
              <w:t>4/18</w:t>
            </w:r>
          </w:p>
        </w:tc>
        <w:tc>
          <w:tcPr>
            <w:tcW w:w="990" w:type="dxa"/>
            <w:shd w:val="clear" w:color="auto" w:fill="auto"/>
            <w:noWrap/>
            <w:vAlign w:val="bottom"/>
            <w:hideMark/>
          </w:tcPr>
          <w:p w14:paraId="0EAC449F" w14:textId="77777777" w:rsidR="00B6552B" w:rsidRPr="004C5018" w:rsidRDefault="00B6552B" w:rsidP="00985086">
            <w:pPr>
              <w:jc w:val="center"/>
              <w:rPr>
                <w:color w:val="000000"/>
                <w:sz w:val="22"/>
                <w:szCs w:val="22"/>
              </w:rPr>
            </w:pPr>
            <w:r w:rsidRPr="004C5018">
              <w:rPr>
                <w:color w:val="000000"/>
                <w:sz w:val="22"/>
                <w:szCs w:val="22"/>
              </w:rPr>
              <w:t>5/2</w:t>
            </w:r>
          </w:p>
        </w:tc>
      </w:tr>
      <w:tr w:rsidR="00B6552B" w:rsidRPr="004C5018" w14:paraId="7BB8A2C1" w14:textId="77777777" w:rsidTr="00985086">
        <w:trPr>
          <w:trHeight w:val="288"/>
          <w:jc w:val="center"/>
        </w:trPr>
        <w:tc>
          <w:tcPr>
            <w:tcW w:w="2160" w:type="dxa"/>
            <w:shd w:val="clear" w:color="auto" w:fill="auto"/>
            <w:noWrap/>
            <w:vAlign w:val="bottom"/>
            <w:hideMark/>
          </w:tcPr>
          <w:p w14:paraId="51143944" w14:textId="77777777" w:rsidR="00B6552B" w:rsidRPr="004C5018" w:rsidRDefault="00B6552B" w:rsidP="00985086">
            <w:pPr>
              <w:rPr>
                <w:color w:val="000000"/>
                <w:sz w:val="22"/>
                <w:szCs w:val="22"/>
              </w:rPr>
            </w:pPr>
            <w:r w:rsidRPr="004C5018">
              <w:rPr>
                <w:color w:val="000000"/>
                <w:sz w:val="22"/>
                <w:szCs w:val="22"/>
              </w:rPr>
              <w:t>Final exam</w:t>
            </w:r>
          </w:p>
        </w:tc>
        <w:tc>
          <w:tcPr>
            <w:tcW w:w="2250" w:type="dxa"/>
            <w:gridSpan w:val="2"/>
            <w:shd w:val="clear" w:color="auto" w:fill="auto"/>
            <w:noWrap/>
            <w:vAlign w:val="bottom"/>
            <w:hideMark/>
          </w:tcPr>
          <w:p w14:paraId="0FE5BE0D" w14:textId="77777777" w:rsidR="00B6552B" w:rsidRPr="004C5018" w:rsidRDefault="00B6552B" w:rsidP="00985086">
            <w:pPr>
              <w:rPr>
                <w:color w:val="000000"/>
                <w:sz w:val="22"/>
                <w:szCs w:val="22"/>
              </w:rPr>
            </w:pPr>
            <w:r w:rsidRPr="004C5018">
              <w:rPr>
                <w:color w:val="000000"/>
                <w:sz w:val="22"/>
                <w:szCs w:val="22"/>
              </w:rPr>
              <w:t>May 13 (tentative)</w:t>
            </w:r>
          </w:p>
        </w:tc>
      </w:tr>
    </w:tbl>
    <w:p w14:paraId="6E1D0DCE" w14:textId="77777777" w:rsidR="006B08A4" w:rsidRPr="004C5018" w:rsidRDefault="006B08A4" w:rsidP="006B08A4">
      <w:pPr>
        <w:jc w:val="both"/>
        <w:rPr>
          <w:sz w:val="22"/>
          <w:szCs w:val="22"/>
        </w:rPr>
      </w:pPr>
    </w:p>
    <w:p w14:paraId="28D9A1E9" w14:textId="48A74999" w:rsidR="00E127D6" w:rsidRPr="004C5018" w:rsidRDefault="00E127D6" w:rsidP="00410BAA">
      <w:pPr>
        <w:pStyle w:val="Default"/>
        <w:jc w:val="both"/>
        <w:rPr>
          <w:sz w:val="22"/>
          <w:szCs w:val="22"/>
        </w:rPr>
      </w:pPr>
      <w:r w:rsidRPr="004C5018">
        <w:rPr>
          <w:b/>
          <w:sz w:val="22"/>
          <w:szCs w:val="22"/>
        </w:rPr>
        <w:t xml:space="preserve">Empirical Projects: </w:t>
      </w:r>
      <w:r w:rsidRPr="004C5018">
        <w:rPr>
          <w:sz w:val="22"/>
          <w:szCs w:val="22"/>
        </w:rPr>
        <w:t xml:space="preserve">A key element of the course will be four empirical projects, which will give students hands-on experience in working with data.  We recommend and will support using the statistical software program Stata for these projects, but students are welcome to use other programs (e.g., </w:t>
      </w:r>
      <w:r w:rsidR="00635D19" w:rsidRPr="004C5018">
        <w:rPr>
          <w:sz w:val="22"/>
          <w:szCs w:val="22"/>
        </w:rPr>
        <w:t xml:space="preserve">SPSS, </w:t>
      </w:r>
      <w:r w:rsidRPr="004C5018">
        <w:rPr>
          <w:sz w:val="22"/>
          <w:szCs w:val="22"/>
        </w:rPr>
        <w:t>R</w:t>
      </w:r>
      <w:r w:rsidR="001A1900" w:rsidRPr="004C5018">
        <w:rPr>
          <w:sz w:val="22"/>
          <w:szCs w:val="22"/>
        </w:rPr>
        <w:t>, Python</w:t>
      </w:r>
      <w:r w:rsidRPr="004C5018">
        <w:rPr>
          <w:sz w:val="22"/>
          <w:szCs w:val="22"/>
        </w:rPr>
        <w:t>), provided that their code and work is clearly documented</w:t>
      </w:r>
      <w:r w:rsidR="007272B0" w:rsidRPr="004C5018">
        <w:rPr>
          <w:sz w:val="22"/>
          <w:szCs w:val="22"/>
        </w:rPr>
        <w:t>.</w:t>
      </w:r>
      <w:r w:rsidR="000A46BF" w:rsidRPr="004C5018">
        <w:rPr>
          <w:sz w:val="22"/>
          <w:szCs w:val="22"/>
        </w:rPr>
        <w:t xml:space="preserve">  </w:t>
      </w:r>
      <w:r w:rsidRPr="004C5018">
        <w:rPr>
          <w:sz w:val="22"/>
          <w:szCs w:val="22"/>
        </w:rPr>
        <w:t xml:space="preserve">The empirical projects are designed to be more </w:t>
      </w:r>
      <w:r w:rsidR="00997DC4" w:rsidRPr="004C5018">
        <w:rPr>
          <w:sz w:val="22"/>
          <w:szCs w:val="22"/>
        </w:rPr>
        <w:t>substantial</w:t>
      </w:r>
      <w:r w:rsidRPr="004C5018">
        <w:rPr>
          <w:sz w:val="22"/>
          <w:szCs w:val="22"/>
        </w:rPr>
        <w:t xml:space="preserve"> than traditional problem sets and will include significant coding, reading, and writing elements that will give students a sense of how social scientists approach research. </w:t>
      </w:r>
    </w:p>
    <w:p w14:paraId="052953A2" w14:textId="77777777" w:rsidR="00E127D6" w:rsidRPr="004C5018" w:rsidRDefault="00E127D6" w:rsidP="00410BAA">
      <w:pPr>
        <w:pStyle w:val="Default"/>
        <w:jc w:val="both"/>
        <w:rPr>
          <w:b/>
          <w:sz w:val="22"/>
          <w:szCs w:val="22"/>
        </w:rPr>
      </w:pPr>
    </w:p>
    <w:p w14:paraId="3E4DB835" w14:textId="5E4A322B" w:rsidR="00810036" w:rsidRDefault="000012C9" w:rsidP="00410BAA">
      <w:pPr>
        <w:pStyle w:val="Default"/>
        <w:jc w:val="both"/>
        <w:rPr>
          <w:sz w:val="22"/>
          <w:szCs w:val="22"/>
        </w:rPr>
      </w:pPr>
      <w:r w:rsidRPr="004C5018">
        <w:rPr>
          <w:b/>
          <w:sz w:val="22"/>
          <w:szCs w:val="22"/>
        </w:rPr>
        <w:t xml:space="preserve">Lecture </w:t>
      </w:r>
      <w:r w:rsidR="00410BAA" w:rsidRPr="004C5018">
        <w:rPr>
          <w:b/>
          <w:sz w:val="22"/>
          <w:szCs w:val="22"/>
        </w:rPr>
        <w:t xml:space="preserve">Attendance: </w:t>
      </w:r>
      <w:r w:rsidR="00410BAA" w:rsidRPr="004C5018">
        <w:rPr>
          <w:sz w:val="22"/>
          <w:szCs w:val="22"/>
        </w:rPr>
        <w:t xml:space="preserve">In the interest of fostering interaction and discussion, students are required to attend all lectures. </w:t>
      </w:r>
      <w:r w:rsidR="009D37FF" w:rsidRPr="004C5018">
        <w:rPr>
          <w:sz w:val="22"/>
          <w:szCs w:val="22"/>
        </w:rPr>
        <w:t xml:space="preserve">If you are unable to make it to a lecture for a documented reason (e.g., an illness), you may request a recording of the lecture by emailing Gregory Bruich with documentation of the reason for your absence. </w:t>
      </w:r>
      <w:r w:rsidR="00410BAA" w:rsidRPr="004C5018">
        <w:rPr>
          <w:sz w:val="22"/>
          <w:szCs w:val="22"/>
        </w:rPr>
        <w:t xml:space="preserve">Since guest </w:t>
      </w:r>
      <w:r w:rsidR="00CE691A" w:rsidRPr="004C5018">
        <w:rPr>
          <w:sz w:val="22"/>
          <w:szCs w:val="22"/>
        </w:rPr>
        <w:t>discussants</w:t>
      </w:r>
      <w:r w:rsidR="00410BAA" w:rsidRPr="004C5018">
        <w:rPr>
          <w:sz w:val="22"/>
          <w:szCs w:val="22"/>
        </w:rPr>
        <w:t xml:space="preserve"> have generously offered their time to our class, student attendance will be </w:t>
      </w:r>
      <w:r w:rsidR="001A1900" w:rsidRPr="004C5018">
        <w:rPr>
          <w:sz w:val="22"/>
          <w:szCs w:val="22"/>
        </w:rPr>
        <w:t>taken</w:t>
      </w:r>
      <w:r w:rsidR="00410BAA" w:rsidRPr="004C5018">
        <w:rPr>
          <w:sz w:val="22"/>
          <w:szCs w:val="22"/>
        </w:rPr>
        <w:t xml:space="preserve"> </w:t>
      </w:r>
      <w:r w:rsidR="00CE691A" w:rsidRPr="004C5018">
        <w:rPr>
          <w:sz w:val="22"/>
          <w:szCs w:val="22"/>
        </w:rPr>
        <w:t>when we have a guest.  S</w:t>
      </w:r>
      <w:r w:rsidR="00410BAA" w:rsidRPr="004C5018">
        <w:rPr>
          <w:sz w:val="22"/>
          <w:szCs w:val="22"/>
        </w:rPr>
        <w:t xml:space="preserve">tudents’ grades will be partly based on attendance at those lectures (see above). </w:t>
      </w:r>
    </w:p>
    <w:p w14:paraId="5F738591" w14:textId="6DD805BB" w:rsidR="007C2DDE" w:rsidRDefault="007C2DDE" w:rsidP="00410BAA">
      <w:pPr>
        <w:pStyle w:val="Default"/>
        <w:jc w:val="both"/>
        <w:rPr>
          <w:bCs/>
          <w:sz w:val="22"/>
          <w:szCs w:val="22"/>
        </w:rPr>
      </w:pPr>
    </w:p>
    <w:p w14:paraId="1360D305" w14:textId="6233664A" w:rsidR="007C2DDE" w:rsidRPr="004C5018" w:rsidRDefault="007C2DDE" w:rsidP="00410BAA">
      <w:pPr>
        <w:pStyle w:val="Default"/>
        <w:jc w:val="both"/>
        <w:rPr>
          <w:bCs/>
          <w:sz w:val="22"/>
          <w:szCs w:val="22"/>
        </w:rPr>
      </w:pPr>
      <w:r w:rsidRPr="007C2DDE">
        <w:rPr>
          <w:b/>
          <w:bCs/>
          <w:sz w:val="22"/>
          <w:szCs w:val="22"/>
        </w:rPr>
        <w:t>Required readings.</w:t>
      </w:r>
      <w:r>
        <w:rPr>
          <w:bCs/>
          <w:sz w:val="22"/>
          <w:szCs w:val="22"/>
        </w:rPr>
        <w:t xml:space="preserve">  </w:t>
      </w:r>
      <w:r w:rsidRPr="004C5018">
        <w:rPr>
          <w:sz w:val="22"/>
          <w:szCs w:val="22"/>
        </w:rPr>
        <w:t>Students are responsible for reading a small number of required papers</w:t>
      </w:r>
      <w:r>
        <w:rPr>
          <w:sz w:val="22"/>
          <w:szCs w:val="22"/>
        </w:rPr>
        <w:t xml:space="preserve">, which appear </w:t>
      </w:r>
      <w:r w:rsidRPr="004C5018">
        <w:rPr>
          <w:sz w:val="22"/>
          <w:szCs w:val="22"/>
        </w:rPr>
        <w:t>in bold</w:t>
      </w:r>
      <w:r>
        <w:rPr>
          <w:sz w:val="22"/>
          <w:szCs w:val="22"/>
        </w:rPr>
        <w:t xml:space="preserve"> on the course reading list</w:t>
      </w:r>
      <w:r w:rsidRPr="004C5018">
        <w:rPr>
          <w:sz w:val="22"/>
          <w:szCs w:val="22"/>
        </w:rPr>
        <w:t xml:space="preserve"> </w:t>
      </w:r>
      <w:r>
        <w:rPr>
          <w:sz w:val="22"/>
          <w:szCs w:val="22"/>
        </w:rPr>
        <w:t xml:space="preserve">(starting on page 5 </w:t>
      </w:r>
      <w:r w:rsidRPr="004C5018">
        <w:rPr>
          <w:sz w:val="22"/>
          <w:szCs w:val="22"/>
        </w:rPr>
        <w:t>below).</w:t>
      </w:r>
      <w:r>
        <w:rPr>
          <w:sz w:val="22"/>
          <w:szCs w:val="22"/>
        </w:rPr>
        <w:t xml:space="preserve">  As we go along, we will let you know when each of the required readings should be done.  The first reading should be done in the first week.  </w:t>
      </w:r>
      <w:r w:rsidRPr="004C5018">
        <w:rPr>
          <w:sz w:val="22"/>
          <w:szCs w:val="22"/>
        </w:rPr>
        <w:t>Please focus on understanding the main ideas, rather than technical details.  We recommend starting with non-technical summaries and introductions for this purpose.</w:t>
      </w:r>
    </w:p>
    <w:p w14:paraId="7B4F62D3" w14:textId="77777777" w:rsidR="00410BAA" w:rsidRPr="004C5018" w:rsidRDefault="00410BAA" w:rsidP="006B08A4">
      <w:pPr>
        <w:pStyle w:val="Default"/>
        <w:jc w:val="both"/>
        <w:rPr>
          <w:b/>
          <w:bCs/>
          <w:sz w:val="22"/>
          <w:szCs w:val="22"/>
        </w:rPr>
      </w:pPr>
    </w:p>
    <w:p w14:paraId="6BA796FD" w14:textId="4F892BBE" w:rsidR="006B08A4" w:rsidRPr="004C5018" w:rsidRDefault="006B08A4" w:rsidP="006B08A4">
      <w:pPr>
        <w:pStyle w:val="Default"/>
        <w:jc w:val="both"/>
        <w:rPr>
          <w:sz w:val="22"/>
          <w:szCs w:val="22"/>
        </w:rPr>
      </w:pPr>
      <w:r w:rsidRPr="004C5018">
        <w:rPr>
          <w:b/>
          <w:bCs/>
          <w:sz w:val="22"/>
          <w:szCs w:val="22"/>
        </w:rPr>
        <w:t xml:space="preserve">Collaboration Policy: </w:t>
      </w:r>
      <w:r w:rsidRPr="004C5018">
        <w:rPr>
          <w:sz w:val="22"/>
          <w:szCs w:val="22"/>
        </w:rPr>
        <w:t xml:space="preserve">Discussion and the exchange of ideas are essential to academic work.  You are encouraged to consult with your classmates on the empirical projects and to share sources. However, you should ensure that any work you submit for evaluation is the result of your own research and that it reflects your own approach to the topic. You must also adhere to standard citation practices and properly cite any books, articles, websites, lectures, etc. that have helped you with your work. If you received any help with </w:t>
      </w:r>
      <w:r w:rsidR="001A1900" w:rsidRPr="004C5018">
        <w:rPr>
          <w:sz w:val="22"/>
          <w:szCs w:val="22"/>
        </w:rPr>
        <w:t>your work</w:t>
      </w:r>
      <w:r w:rsidRPr="004C5018">
        <w:rPr>
          <w:sz w:val="22"/>
          <w:szCs w:val="22"/>
        </w:rPr>
        <w:t xml:space="preserve"> (e.g., feedback on drafts</w:t>
      </w:r>
      <w:r w:rsidR="00810036" w:rsidRPr="004C5018">
        <w:rPr>
          <w:sz w:val="22"/>
          <w:szCs w:val="22"/>
        </w:rPr>
        <w:t>, help with code or programming</w:t>
      </w:r>
      <w:r w:rsidRPr="004C5018">
        <w:rPr>
          <w:sz w:val="22"/>
          <w:szCs w:val="22"/>
        </w:rPr>
        <w:t>), you must also acknowledge this assistance. No collaboration</w:t>
      </w:r>
      <w:r w:rsidR="00D73B7D">
        <w:rPr>
          <w:sz w:val="22"/>
          <w:szCs w:val="22"/>
        </w:rPr>
        <w:t xml:space="preserve"> of any kind</w:t>
      </w:r>
      <w:r w:rsidRPr="004C5018">
        <w:rPr>
          <w:sz w:val="22"/>
          <w:szCs w:val="22"/>
        </w:rPr>
        <w:t xml:space="preserve"> is allowed during</w:t>
      </w:r>
      <w:r w:rsidR="00923FC7" w:rsidRPr="004C5018">
        <w:rPr>
          <w:sz w:val="22"/>
          <w:szCs w:val="22"/>
        </w:rPr>
        <w:t xml:space="preserve"> the midterm or final</w:t>
      </w:r>
      <w:r w:rsidR="005D09F8" w:rsidRPr="004C5018">
        <w:rPr>
          <w:sz w:val="22"/>
          <w:szCs w:val="22"/>
        </w:rPr>
        <w:t xml:space="preserve"> </w:t>
      </w:r>
      <w:r w:rsidR="00F8145F" w:rsidRPr="004C5018">
        <w:rPr>
          <w:sz w:val="22"/>
          <w:szCs w:val="22"/>
        </w:rPr>
        <w:t>exam.</w:t>
      </w:r>
    </w:p>
    <w:p w14:paraId="04429DCB" w14:textId="006F3177" w:rsidR="0098522D" w:rsidRDefault="0036451E" w:rsidP="00A1245A">
      <w:pPr>
        <w:jc w:val="center"/>
        <w:rPr>
          <w:b/>
          <w:sz w:val="22"/>
          <w:szCs w:val="22"/>
        </w:rPr>
      </w:pPr>
      <w:r>
        <w:rPr>
          <w:b/>
          <w:sz w:val="22"/>
          <w:szCs w:val="22"/>
        </w:rPr>
        <w:lastRenderedPageBreak/>
        <w:t>Lectures</w:t>
      </w:r>
    </w:p>
    <w:p w14:paraId="081052E8" w14:textId="77777777" w:rsidR="009F0A55" w:rsidRDefault="009F0A55" w:rsidP="00A1245A">
      <w:pPr>
        <w:jc w:val="center"/>
        <w:rPr>
          <w:b/>
          <w:sz w:val="22"/>
          <w:szCs w:val="22"/>
        </w:rPr>
      </w:pPr>
    </w:p>
    <w:tbl>
      <w:tblPr>
        <w:tblW w:w="9636" w:type="dxa"/>
        <w:tblLook w:val="04A0" w:firstRow="1" w:lastRow="0" w:firstColumn="1" w:lastColumn="0" w:noHBand="0" w:noVBand="1"/>
      </w:tblPr>
      <w:tblGrid>
        <w:gridCol w:w="736"/>
        <w:gridCol w:w="4700"/>
        <w:gridCol w:w="4200"/>
      </w:tblGrid>
      <w:tr w:rsidR="0038140B" w:rsidRPr="0038140B" w14:paraId="458BF6A3" w14:textId="77777777" w:rsidTr="00ED4255">
        <w:trPr>
          <w:trHeight w:val="288"/>
        </w:trPr>
        <w:tc>
          <w:tcPr>
            <w:tcW w:w="736" w:type="dxa"/>
            <w:tcBorders>
              <w:top w:val="nil"/>
              <w:left w:val="nil"/>
              <w:bottom w:val="nil"/>
              <w:right w:val="nil"/>
            </w:tcBorders>
            <w:shd w:val="clear" w:color="auto" w:fill="auto"/>
            <w:noWrap/>
            <w:hideMark/>
          </w:tcPr>
          <w:p w14:paraId="465FED2B" w14:textId="77777777" w:rsidR="0038140B" w:rsidRPr="0038140B" w:rsidRDefault="0038140B" w:rsidP="0038140B">
            <w:pPr>
              <w:rPr>
                <w:b/>
                <w:bCs/>
                <w:color w:val="000000"/>
                <w:sz w:val="22"/>
                <w:szCs w:val="22"/>
              </w:rPr>
            </w:pPr>
            <w:bookmarkStart w:id="1" w:name="_Hlk8462630"/>
            <w:r w:rsidRPr="0038140B">
              <w:rPr>
                <w:b/>
                <w:bCs/>
                <w:color w:val="000000"/>
                <w:sz w:val="22"/>
                <w:szCs w:val="22"/>
              </w:rPr>
              <w:t>Num.</w:t>
            </w:r>
          </w:p>
        </w:tc>
        <w:tc>
          <w:tcPr>
            <w:tcW w:w="4700" w:type="dxa"/>
            <w:tcBorders>
              <w:top w:val="nil"/>
              <w:left w:val="nil"/>
              <w:bottom w:val="nil"/>
              <w:right w:val="nil"/>
            </w:tcBorders>
            <w:shd w:val="clear" w:color="auto" w:fill="auto"/>
            <w:noWrap/>
            <w:hideMark/>
          </w:tcPr>
          <w:p w14:paraId="691A51E0" w14:textId="77777777" w:rsidR="0038140B" w:rsidRPr="0038140B" w:rsidRDefault="0038140B" w:rsidP="0038140B">
            <w:pPr>
              <w:rPr>
                <w:b/>
                <w:bCs/>
                <w:color w:val="000000"/>
                <w:sz w:val="22"/>
                <w:szCs w:val="22"/>
              </w:rPr>
            </w:pPr>
            <w:r w:rsidRPr="0038140B">
              <w:rPr>
                <w:b/>
                <w:bCs/>
                <w:color w:val="000000"/>
                <w:sz w:val="22"/>
                <w:szCs w:val="22"/>
              </w:rPr>
              <w:t>Topic</w:t>
            </w:r>
          </w:p>
        </w:tc>
        <w:tc>
          <w:tcPr>
            <w:tcW w:w="4200" w:type="dxa"/>
            <w:tcBorders>
              <w:top w:val="nil"/>
              <w:left w:val="nil"/>
              <w:bottom w:val="nil"/>
              <w:right w:val="nil"/>
            </w:tcBorders>
            <w:shd w:val="clear" w:color="auto" w:fill="auto"/>
            <w:noWrap/>
            <w:hideMark/>
          </w:tcPr>
          <w:p w14:paraId="31C3F49D" w14:textId="77777777" w:rsidR="0038140B" w:rsidRPr="0038140B" w:rsidRDefault="0038140B" w:rsidP="0038140B">
            <w:pPr>
              <w:rPr>
                <w:b/>
                <w:bCs/>
                <w:color w:val="000000"/>
                <w:sz w:val="22"/>
                <w:szCs w:val="22"/>
              </w:rPr>
            </w:pPr>
            <w:r w:rsidRPr="0038140B">
              <w:rPr>
                <w:b/>
                <w:bCs/>
                <w:color w:val="000000"/>
                <w:sz w:val="22"/>
                <w:szCs w:val="22"/>
              </w:rPr>
              <w:t>Selected Methods</w:t>
            </w:r>
          </w:p>
        </w:tc>
      </w:tr>
      <w:tr w:rsidR="0038140B" w:rsidRPr="0038140B" w14:paraId="5E3A919D" w14:textId="77777777" w:rsidTr="00ED4255">
        <w:trPr>
          <w:trHeight w:val="288"/>
        </w:trPr>
        <w:tc>
          <w:tcPr>
            <w:tcW w:w="736" w:type="dxa"/>
            <w:tcBorders>
              <w:top w:val="nil"/>
              <w:left w:val="nil"/>
              <w:bottom w:val="nil"/>
              <w:right w:val="nil"/>
            </w:tcBorders>
            <w:shd w:val="clear" w:color="auto" w:fill="auto"/>
            <w:noWrap/>
            <w:hideMark/>
          </w:tcPr>
          <w:p w14:paraId="2581AF9F" w14:textId="77777777" w:rsidR="0038140B" w:rsidRPr="0038140B" w:rsidRDefault="0038140B" w:rsidP="0038140B">
            <w:pPr>
              <w:rPr>
                <w:b/>
                <w:bCs/>
                <w:color w:val="000000"/>
                <w:sz w:val="22"/>
                <w:szCs w:val="22"/>
              </w:rPr>
            </w:pPr>
          </w:p>
        </w:tc>
        <w:tc>
          <w:tcPr>
            <w:tcW w:w="4700" w:type="dxa"/>
            <w:tcBorders>
              <w:top w:val="nil"/>
              <w:left w:val="nil"/>
              <w:bottom w:val="nil"/>
              <w:right w:val="nil"/>
            </w:tcBorders>
            <w:shd w:val="clear" w:color="auto" w:fill="auto"/>
            <w:noWrap/>
            <w:hideMark/>
          </w:tcPr>
          <w:p w14:paraId="7B3B2985"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27B4CD74" w14:textId="77777777" w:rsidR="0038140B" w:rsidRPr="0038140B" w:rsidRDefault="0038140B" w:rsidP="0038140B">
            <w:pPr>
              <w:rPr>
                <w:sz w:val="20"/>
                <w:szCs w:val="20"/>
              </w:rPr>
            </w:pPr>
          </w:p>
        </w:tc>
      </w:tr>
      <w:tr w:rsidR="0038140B" w:rsidRPr="0038140B" w14:paraId="64E3FCCB" w14:textId="77777777" w:rsidTr="00ED4255">
        <w:trPr>
          <w:trHeight w:val="288"/>
        </w:trPr>
        <w:tc>
          <w:tcPr>
            <w:tcW w:w="5436" w:type="dxa"/>
            <w:gridSpan w:val="2"/>
            <w:tcBorders>
              <w:top w:val="nil"/>
              <w:left w:val="nil"/>
              <w:bottom w:val="nil"/>
              <w:right w:val="nil"/>
            </w:tcBorders>
            <w:shd w:val="clear" w:color="auto" w:fill="auto"/>
            <w:noWrap/>
            <w:hideMark/>
          </w:tcPr>
          <w:p w14:paraId="07F10FE7" w14:textId="77777777" w:rsidR="0038140B" w:rsidRPr="0038140B" w:rsidRDefault="0038140B" w:rsidP="0038140B">
            <w:pPr>
              <w:rPr>
                <w:color w:val="000000"/>
                <w:sz w:val="22"/>
                <w:szCs w:val="22"/>
                <w:u w:val="single"/>
              </w:rPr>
            </w:pPr>
            <w:r w:rsidRPr="0038140B">
              <w:rPr>
                <w:color w:val="000000"/>
                <w:sz w:val="22"/>
                <w:szCs w:val="22"/>
                <w:u w:val="single"/>
              </w:rPr>
              <w:t>Part I: Equality of Opportunity</w:t>
            </w:r>
          </w:p>
        </w:tc>
        <w:tc>
          <w:tcPr>
            <w:tcW w:w="4200" w:type="dxa"/>
            <w:tcBorders>
              <w:top w:val="nil"/>
              <w:left w:val="nil"/>
              <w:bottom w:val="nil"/>
              <w:right w:val="nil"/>
            </w:tcBorders>
            <w:shd w:val="clear" w:color="auto" w:fill="auto"/>
            <w:noWrap/>
            <w:hideMark/>
          </w:tcPr>
          <w:p w14:paraId="45FBB88E" w14:textId="77777777" w:rsidR="0038140B" w:rsidRPr="0038140B" w:rsidRDefault="0038140B" w:rsidP="0038140B">
            <w:pPr>
              <w:rPr>
                <w:color w:val="000000"/>
                <w:sz w:val="22"/>
                <w:szCs w:val="22"/>
                <w:u w:val="single"/>
              </w:rPr>
            </w:pPr>
          </w:p>
        </w:tc>
      </w:tr>
      <w:tr w:rsidR="0038140B" w:rsidRPr="0038140B" w14:paraId="7E33A75D" w14:textId="77777777" w:rsidTr="00ED4255">
        <w:trPr>
          <w:trHeight w:val="288"/>
        </w:trPr>
        <w:tc>
          <w:tcPr>
            <w:tcW w:w="736" w:type="dxa"/>
            <w:tcBorders>
              <w:top w:val="nil"/>
              <w:left w:val="nil"/>
              <w:bottom w:val="nil"/>
              <w:right w:val="nil"/>
            </w:tcBorders>
            <w:shd w:val="clear" w:color="auto" w:fill="auto"/>
            <w:hideMark/>
          </w:tcPr>
          <w:p w14:paraId="1965F674" w14:textId="77777777" w:rsidR="0038140B" w:rsidRPr="0038140B" w:rsidRDefault="0038140B" w:rsidP="0038140B">
            <w:pPr>
              <w:jc w:val="center"/>
              <w:rPr>
                <w:color w:val="000000"/>
                <w:sz w:val="22"/>
                <w:szCs w:val="22"/>
              </w:rPr>
            </w:pPr>
            <w:r w:rsidRPr="0038140B">
              <w:rPr>
                <w:color w:val="000000"/>
                <w:sz w:val="22"/>
                <w:szCs w:val="22"/>
              </w:rPr>
              <w:t>1</w:t>
            </w:r>
          </w:p>
        </w:tc>
        <w:tc>
          <w:tcPr>
            <w:tcW w:w="4700" w:type="dxa"/>
            <w:tcBorders>
              <w:top w:val="nil"/>
              <w:left w:val="nil"/>
              <w:bottom w:val="nil"/>
              <w:right w:val="nil"/>
            </w:tcBorders>
            <w:shd w:val="clear" w:color="auto" w:fill="auto"/>
            <w:hideMark/>
          </w:tcPr>
          <w:p w14:paraId="77AC7988" w14:textId="77777777" w:rsidR="0038140B" w:rsidRPr="0038140B" w:rsidRDefault="0038140B" w:rsidP="0038140B">
            <w:pPr>
              <w:rPr>
                <w:color w:val="000000"/>
                <w:sz w:val="22"/>
                <w:szCs w:val="22"/>
              </w:rPr>
            </w:pPr>
            <w:r w:rsidRPr="0038140B">
              <w:rPr>
                <w:color w:val="000000"/>
                <w:sz w:val="22"/>
                <w:szCs w:val="22"/>
              </w:rPr>
              <w:t>The Geography of Upward Mobility in America</w:t>
            </w:r>
          </w:p>
        </w:tc>
        <w:tc>
          <w:tcPr>
            <w:tcW w:w="4200" w:type="dxa"/>
            <w:tcBorders>
              <w:top w:val="nil"/>
              <w:left w:val="nil"/>
              <w:bottom w:val="nil"/>
              <w:right w:val="nil"/>
            </w:tcBorders>
            <w:shd w:val="clear" w:color="auto" w:fill="auto"/>
            <w:noWrap/>
            <w:hideMark/>
          </w:tcPr>
          <w:p w14:paraId="2EBF5BDB" w14:textId="77777777" w:rsidR="0038140B" w:rsidRPr="0038140B" w:rsidRDefault="0038140B" w:rsidP="0038140B">
            <w:pPr>
              <w:rPr>
                <w:color w:val="000000"/>
                <w:sz w:val="22"/>
                <w:szCs w:val="22"/>
              </w:rPr>
            </w:pPr>
            <w:r w:rsidRPr="0038140B">
              <w:rPr>
                <w:color w:val="000000"/>
                <w:sz w:val="22"/>
                <w:szCs w:val="22"/>
              </w:rPr>
              <w:t>correlation, regression</w:t>
            </w:r>
          </w:p>
        </w:tc>
      </w:tr>
      <w:tr w:rsidR="0038140B" w:rsidRPr="0038140B" w14:paraId="74B8D63E" w14:textId="77777777" w:rsidTr="00ED4255">
        <w:trPr>
          <w:trHeight w:val="288"/>
        </w:trPr>
        <w:tc>
          <w:tcPr>
            <w:tcW w:w="736" w:type="dxa"/>
            <w:tcBorders>
              <w:top w:val="nil"/>
              <w:left w:val="nil"/>
              <w:bottom w:val="nil"/>
              <w:right w:val="nil"/>
            </w:tcBorders>
            <w:shd w:val="clear" w:color="auto" w:fill="auto"/>
            <w:hideMark/>
          </w:tcPr>
          <w:p w14:paraId="1EA88D94" w14:textId="77777777" w:rsidR="0038140B" w:rsidRPr="0038140B" w:rsidRDefault="0038140B" w:rsidP="0038140B">
            <w:pPr>
              <w:jc w:val="center"/>
              <w:rPr>
                <w:color w:val="000000"/>
                <w:sz w:val="22"/>
                <w:szCs w:val="22"/>
              </w:rPr>
            </w:pPr>
            <w:r w:rsidRPr="0038140B">
              <w:rPr>
                <w:color w:val="000000"/>
                <w:sz w:val="22"/>
                <w:szCs w:val="22"/>
              </w:rPr>
              <w:t>2</w:t>
            </w:r>
          </w:p>
        </w:tc>
        <w:tc>
          <w:tcPr>
            <w:tcW w:w="4700" w:type="dxa"/>
            <w:tcBorders>
              <w:top w:val="nil"/>
              <w:left w:val="nil"/>
              <w:bottom w:val="nil"/>
              <w:right w:val="nil"/>
            </w:tcBorders>
            <w:shd w:val="clear" w:color="auto" w:fill="auto"/>
            <w:hideMark/>
          </w:tcPr>
          <w:p w14:paraId="434C24BB" w14:textId="77777777" w:rsidR="0038140B" w:rsidRPr="0038140B" w:rsidRDefault="0038140B" w:rsidP="0038140B">
            <w:pPr>
              <w:rPr>
                <w:color w:val="000000"/>
                <w:sz w:val="22"/>
                <w:szCs w:val="22"/>
              </w:rPr>
            </w:pPr>
            <w:r w:rsidRPr="0038140B">
              <w:rPr>
                <w:color w:val="000000"/>
                <w:sz w:val="22"/>
                <w:szCs w:val="22"/>
              </w:rPr>
              <w:t>Policies to Improve Upward Mobility</w:t>
            </w:r>
          </w:p>
        </w:tc>
        <w:tc>
          <w:tcPr>
            <w:tcW w:w="4200" w:type="dxa"/>
            <w:tcBorders>
              <w:top w:val="nil"/>
              <w:left w:val="nil"/>
              <w:bottom w:val="nil"/>
              <w:right w:val="nil"/>
            </w:tcBorders>
            <w:shd w:val="clear" w:color="auto" w:fill="auto"/>
            <w:noWrap/>
            <w:hideMark/>
          </w:tcPr>
          <w:p w14:paraId="5B29FC17" w14:textId="77777777" w:rsidR="0038140B" w:rsidRPr="0038140B" w:rsidRDefault="0038140B" w:rsidP="0038140B">
            <w:pPr>
              <w:rPr>
                <w:color w:val="000000"/>
                <w:sz w:val="22"/>
                <w:szCs w:val="22"/>
              </w:rPr>
            </w:pPr>
            <w:r w:rsidRPr="0038140B">
              <w:rPr>
                <w:color w:val="000000"/>
                <w:sz w:val="22"/>
                <w:szCs w:val="22"/>
              </w:rPr>
              <w:t>quasi-experiments</w:t>
            </w:r>
          </w:p>
        </w:tc>
      </w:tr>
      <w:tr w:rsidR="0038140B" w:rsidRPr="0038140B" w14:paraId="6D25EDCB" w14:textId="77777777" w:rsidTr="00ED4255">
        <w:trPr>
          <w:trHeight w:val="288"/>
        </w:trPr>
        <w:tc>
          <w:tcPr>
            <w:tcW w:w="736" w:type="dxa"/>
            <w:tcBorders>
              <w:top w:val="nil"/>
              <w:left w:val="nil"/>
              <w:bottom w:val="nil"/>
              <w:right w:val="nil"/>
            </w:tcBorders>
            <w:shd w:val="clear" w:color="auto" w:fill="auto"/>
            <w:hideMark/>
          </w:tcPr>
          <w:p w14:paraId="72000B32" w14:textId="77777777" w:rsidR="0038140B" w:rsidRPr="0038140B" w:rsidRDefault="0038140B" w:rsidP="0038140B">
            <w:pPr>
              <w:jc w:val="center"/>
              <w:rPr>
                <w:color w:val="000000"/>
                <w:sz w:val="22"/>
                <w:szCs w:val="22"/>
              </w:rPr>
            </w:pPr>
            <w:r w:rsidRPr="0038140B">
              <w:rPr>
                <w:color w:val="000000"/>
                <w:sz w:val="22"/>
                <w:szCs w:val="22"/>
              </w:rPr>
              <w:t>3</w:t>
            </w:r>
          </w:p>
        </w:tc>
        <w:tc>
          <w:tcPr>
            <w:tcW w:w="4700" w:type="dxa"/>
            <w:tcBorders>
              <w:top w:val="nil"/>
              <w:left w:val="nil"/>
              <w:bottom w:val="nil"/>
              <w:right w:val="nil"/>
            </w:tcBorders>
            <w:shd w:val="clear" w:color="auto" w:fill="auto"/>
            <w:hideMark/>
          </w:tcPr>
          <w:p w14:paraId="06BA74FA" w14:textId="77777777" w:rsidR="0038140B" w:rsidRPr="0038140B" w:rsidRDefault="0038140B" w:rsidP="0038140B">
            <w:pPr>
              <w:rPr>
                <w:color w:val="000000"/>
                <w:sz w:val="22"/>
                <w:szCs w:val="22"/>
              </w:rPr>
            </w:pPr>
            <w:r w:rsidRPr="0038140B">
              <w:rPr>
                <w:color w:val="000000"/>
                <w:sz w:val="22"/>
                <w:szCs w:val="22"/>
              </w:rPr>
              <w:t>Place-Focused Policies to Increase Upward Mobility</w:t>
            </w:r>
          </w:p>
        </w:tc>
        <w:tc>
          <w:tcPr>
            <w:tcW w:w="4200" w:type="dxa"/>
            <w:tcBorders>
              <w:top w:val="nil"/>
              <w:left w:val="nil"/>
              <w:bottom w:val="nil"/>
              <w:right w:val="nil"/>
            </w:tcBorders>
            <w:shd w:val="clear" w:color="auto" w:fill="auto"/>
            <w:noWrap/>
            <w:hideMark/>
          </w:tcPr>
          <w:p w14:paraId="3A265F61" w14:textId="77777777" w:rsidR="0038140B" w:rsidRPr="0038140B" w:rsidRDefault="0038140B" w:rsidP="0038140B">
            <w:pPr>
              <w:rPr>
                <w:color w:val="000000"/>
                <w:sz w:val="22"/>
                <w:szCs w:val="22"/>
              </w:rPr>
            </w:pPr>
            <w:r w:rsidRPr="0038140B">
              <w:rPr>
                <w:color w:val="000000"/>
                <w:sz w:val="22"/>
                <w:szCs w:val="22"/>
              </w:rPr>
              <w:t>experiments</w:t>
            </w:r>
          </w:p>
        </w:tc>
      </w:tr>
      <w:tr w:rsidR="0038140B" w:rsidRPr="0038140B" w14:paraId="415441EC" w14:textId="77777777" w:rsidTr="00ED4255">
        <w:trPr>
          <w:trHeight w:val="288"/>
        </w:trPr>
        <w:tc>
          <w:tcPr>
            <w:tcW w:w="736" w:type="dxa"/>
            <w:tcBorders>
              <w:top w:val="nil"/>
              <w:left w:val="nil"/>
              <w:bottom w:val="nil"/>
              <w:right w:val="nil"/>
            </w:tcBorders>
            <w:shd w:val="clear" w:color="auto" w:fill="auto"/>
            <w:hideMark/>
          </w:tcPr>
          <w:p w14:paraId="6320719D" w14:textId="77777777" w:rsidR="0038140B" w:rsidRPr="0038140B" w:rsidRDefault="0038140B" w:rsidP="0038140B">
            <w:pPr>
              <w:jc w:val="center"/>
              <w:rPr>
                <w:color w:val="000000"/>
                <w:sz w:val="22"/>
                <w:szCs w:val="22"/>
              </w:rPr>
            </w:pPr>
            <w:r w:rsidRPr="0038140B">
              <w:rPr>
                <w:color w:val="000000"/>
                <w:sz w:val="22"/>
                <w:szCs w:val="22"/>
              </w:rPr>
              <w:t>4</w:t>
            </w:r>
          </w:p>
        </w:tc>
        <w:tc>
          <w:tcPr>
            <w:tcW w:w="4700" w:type="dxa"/>
            <w:tcBorders>
              <w:top w:val="nil"/>
              <w:left w:val="nil"/>
              <w:bottom w:val="nil"/>
              <w:right w:val="nil"/>
            </w:tcBorders>
            <w:shd w:val="clear" w:color="auto" w:fill="auto"/>
            <w:hideMark/>
          </w:tcPr>
          <w:p w14:paraId="6EB39163" w14:textId="77777777" w:rsidR="0038140B" w:rsidRPr="0038140B" w:rsidRDefault="0038140B" w:rsidP="0038140B">
            <w:pPr>
              <w:rPr>
                <w:color w:val="000000"/>
                <w:sz w:val="22"/>
                <w:szCs w:val="22"/>
              </w:rPr>
            </w:pPr>
            <w:r w:rsidRPr="0038140B">
              <w:rPr>
                <w:color w:val="000000"/>
                <w:sz w:val="22"/>
                <w:szCs w:val="22"/>
              </w:rPr>
              <w:t>The American Dream in Historical Perspective</w:t>
            </w:r>
          </w:p>
        </w:tc>
        <w:tc>
          <w:tcPr>
            <w:tcW w:w="4200" w:type="dxa"/>
            <w:tcBorders>
              <w:top w:val="nil"/>
              <w:left w:val="nil"/>
              <w:bottom w:val="nil"/>
              <w:right w:val="nil"/>
            </w:tcBorders>
            <w:shd w:val="clear" w:color="auto" w:fill="auto"/>
            <w:noWrap/>
            <w:hideMark/>
          </w:tcPr>
          <w:p w14:paraId="79DD7EBE" w14:textId="77777777" w:rsidR="0038140B" w:rsidRPr="0038140B" w:rsidRDefault="0038140B" w:rsidP="0038140B">
            <w:pPr>
              <w:rPr>
                <w:color w:val="000000"/>
                <w:sz w:val="22"/>
                <w:szCs w:val="22"/>
              </w:rPr>
            </w:pPr>
            <w:r w:rsidRPr="0038140B">
              <w:rPr>
                <w:color w:val="000000"/>
                <w:sz w:val="22"/>
                <w:szCs w:val="22"/>
              </w:rPr>
              <w:t>distributional analysis</w:t>
            </w:r>
          </w:p>
        </w:tc>
      </w:tr>
      <w:tr w:rsidR="0038140B" w:rsidRPr="0038140B" w14:paraId="41B6DC89" w14:textId="77777777" w:rsidTr="00ED4255">
        <w:trPr>
          <w:trHeight w:val="288"/>
        </w:trPr>
        <w:tc>
          <w:tcPr>
            <w:tcW w:w="736" w:type="dxa"/>
            <w:tcBorders>
              <w:top w:val="nil"/>
              <w:left w:val="nil"/>
              <w:bottom w:val="nil"/>
              <w:right w:val="nil"/>
            </w:tcBorders>
            <w:shd w:val="clear" w:color="auto" w:fill="auto"/>
            <w:hideMark/>
          </w:tcPr>
          <w:p w14:paraId="5871E129" w14:textId="77777777" w:rsidR="0038140B" w:rsidRPr="0038140B" w:rsidRDefault="0038140B" w:rsidP="0038140B">
            <w:pPr>
              <w:jc w:val="center"/>
              <w:rPr>
                <w:color w:val="000000"/>
                <w:sz w:val="22"/>
                <w:szCs w:val="22"/>
              </w:rPr>
            </w:pPr>
            <w:r w:rsidRPr="0038140B">
              <w:rPr>
                <w:color w:val="000000"/>
                <w:sz w:val="22"/>
                <w:szCs w:val="22"/>
              </w:rPr>
              <w:t>5</w:t>
            </w:r>
          </w:p>
        </w:tc>
        <w:tc>
          <w:tcPr>
            <w:tcW w:w="4700" w:type="dxa"/>
            <w:tcBorders>
              <w:top w:val="nil"/>
              <w:left w:val="nil"/>
              <w:bottom w:val="nil"/>
              <w:right w:val="nil"/>
            </w:tcBorders>
            <w:shd w:val="clear" w:color="auto" w:fill="auto"/>
            <w:hideMark/>
          </w:tcPr>
          <w:p w14:paraId="23D7C759" w14:textId="77777777" w:rsidR="0038140B" w:rsidRPr="0038140B" w:rsidRDefault="0038140B" w:rsidP="0038140B">
            <w:pPr>
              <w:rPr>
                <w:color w:val="000000"/>
                <w:sz w:val="22"/>
                <w:szCs w:val="22"/>
              </w:rPr>
            </w:pPr>
            <w:r w:rsidRPr="0038140B">
              <w:rPr>
                <w:color w:val="000000"/>
                <w:sz w:val="22"/>
                <w:szCs w:val="22"/>
              </w:rPr>
              <w:t>Upward Mobility, Innovation, and Economic Growth</w:t>
            </w:r>
          </w:p>
        </w:tc>
        <w:tc>
          <w:tcPr>
            <w:tcW w:w="4200" w:type="dxa"/>
            <w:tcBorders>
              <w:top w:val="nil"/>
              <w:left w:val="nil"/>
              <w:bottom w:val="nil"/>
              <w:right w:val="nil"/>
            </w:tcBorders>
            <w:shd w:val="clear" w:color="auto" w:fill="auto"/>
            <w:noWrap/>
            <w:hideMark/>
          </w:tcPr>
          <w:p w14:paraId="280778ED" w14:textId="77777777" w:rsidR="0038140B" w:rsidRPr="0038140B" w:rsidRDefault="0038140B" w:rsidP="0038140B">
            <w:pPr>
              <w:rPr>
                <w:color w:val="000000"/>
                <w:sz w:val="22"/>
                <w:szCs w:val="22"/>
              </w:rPr>
            </w:pPr>
            <w:r w:rsidRPr="0038140B">
              <w:rPr>
                <w:color w:val="000000"/>
                <w:sz w:val="22"/>
                <w:szCs w:val="22"/>
              </w:rPr>
              <w:t>propensity score reweighting</w:t>
            </w:r>
          </w:p>
        </w:tc>
      </w:tr>
      <w:tr w:rsidR="0038140B" w:rsidRPr="0038140B" w14:paraId="52A9758C" w14:textId="77777777" w:rsidTr="00ED4255">
        <w:trPr>
          <w:trHeight w:val="288"/>
        </w:trPr>
        <w:tc>
          <w:tcPr>
            <w:tcW w:w="736" w:type="dxa"/>
            <w:tcBorders>
              <w:top w:val="nil"/>
              <w:left w:val="nil"/>
              <w:bottom w:val="nil"/>
              <w:right w:val="nil"/>
            </w:tcBorders>
            <w:shd w:val="clear" w:color="auto" w:fill="auto"/>
            <w:hideMark/>
          </w:tcPr>
          <w:p w14:paraId="1F3755B4"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28DF9D61"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25A5548D" w14:textId="77777777" w:rsidR="0038140B" w:rsidRPr="0038140B" w:rsidRDefault="0038140B" w:rsidP="0038140B">
            <w:pPr>
              <w:rPr>
                <w:sz w:val="20"/>
                <w:szCs w:val="20"/>
              </w:rPr>
            </w:pPr>
          </w:p>
        </w:tc>
      </w:tr>
      <w:tr w:rsidR="0038140B" w:rsidRPr="0038140B" w14:paraId="36156D2A" w14:textId="77777777" w:rsidTr="00ED4255">
        <w:trPr>
          <w:trHeight w:val="288"/>
        </w:trPr>
        <w:tc>
          <w:tcPr>
            <w:tcW w:w="5436" w:type="dxa"/>
            <w:gridSpan w:val="2"/>
            <w:tcBorders>
              <w:top w:val="nil"/>
              <w:left w:val="nil"/>
              <w:bottom w:val="nil"/>
              <w:right w:val="nil"/>
            </w:tcBorders>
            <w:shd w:val="clear" w:color="auto" w:fill="auto"/>
            <w:hideMark/>
          </w:tcPr>
          <w:p w14:paraId="4A0F4AE9" w14:textId="77777777" w:rsidR="0038140B" w:rsidRPr="0038140B" w:rsidRDefault="0038140B" w:rsidP="0038140B">
            <w:pPr>
              <w:rPr>
                <w:color w:val="000000"/>
                <w:sz w:val="22"/>
                <w:szCs w:val="22"/>
                <w:u w:val="single"/>
              </w:rPr>
            </w:pPr>
            <w:r w:rsidRPr="0038140B">
              <w:rPr>
                <w:color w:val="000000"/>
                <w:sz w:val="22"/>
                <w:szCs w:val="22"/>
                <w:u w:val="single"/>
              </w:rPr>
              <w:t>Part II: Education</w:t>
            </w:r>
          </w:p>
        </w:tc>
        <w:tc>
          <w:tcPr>
            <w:tcW w:w="4200" w:type="dxa"/>
            <w:tcBorders>
              <w:top w:val="nil"/>
              <w:left w:val="nil"/>
              <w:bottom w:val="nil"/>
              <w:right w:val="nil"/>
            </w:tcBorders>
            <w:shd w:val="clear" w:color="auto" w:fill="auto"/>
            <w:hideMark/>
          </w:tcPr>
          <w:p w14:paraId="47B99852" w14:textId="77777777" w:rsidR="0038140B" w:rsidRPr="0038140B" w:rsidRDefault="0038140B" w:rsidP="0038140B">
            <w:pPr>
              <w:rPr>
                <w:color w:val="000000"/>
                <w:sz w:val="22"/>
                <w:szCs w:val="22"/>
                <w:u w:val="single"/>
              </w:rPr>
            </w:pPr>
          </w:p>
        </w:tc>
      </w:tr>
      <w:tr w:rsidR="0038140B" w:rsidRPr="0038140B" w14:paraId="4B49A05B" w14:textId="77777777" w:rsidTr="00ED4255">
        <w:trPr>
          <w:trHeight w:val="330"/>
        </w:trPr>
        <w:tc>
          <w:tcPr>
            <w:tcW w:w="736" w:type="dxa"/>
            <w:tcBorders>
              <w:top w:val="nil"/>
              <w:left w:val="nil"/>
              <w:bottom w:val="nil"/>
              <w:right w:val="nil"/>
            </w:tcBorders>
            <w:shd w:val="clear" w:color="auto" w:fill="auto"/>
            <w:hideMark/>
          </w:tcPr>
          <w:p w14:paraId="6F09A2E5" w14:textId="77777777" w:rsidR="0038140B" w:rsidRPr="0038140B" w:rsidRDefault="0038140B" w:rsidP="0038140B">
            <w:pPr>
              <w:jc w:val="center"/>
              <w:rPr>
                <w:color w:val="000000"/>
                <w:sz w:val="22"/>
                <w:szCs w:val="22"/>
              </w:rPr>
            </w:pPr>
            <w:r w:rsidRPr="0038140B">
              <w:rPr>
                <w:color w:val="000000"/>
                <w:sz w:val="22"/>
                <w:szCs w:val="22"/>
              </w:rPr>
              <w:t>6</w:t>
            </w:r>
          </w:p>
        </w:tc>
        <w:tc>
          <w:tcPr>
            <w:tcW w:w="4700" w:type="dxa"/>
            <w:tcBorders>
              <w:top w:val="nil"/>
              <w:left w:val="nil"/>
              <w:bottom w:val="nil"/>
              <w:right w:val="nil"/>
            </w:tcBorders>
            <w:shd w:val="clear" w:color="auto" w:fill="auto"/>
            <w:hideMark/>
          </w:tcPr>
          <w:p w14:paraId="5FBB25B3" w14:textId="77777777" w:rsidR="0038140B" w:rsidRPr="0038140B" w:rsidRDefault="0038140B" w:rsidP="0038140B">
            <w:pPr>
              <w:rPr>
                <w:color w:val="000000"/>
                <w:sz w:val="22"/>
                <w:szCs w:val="22"/>
              </w:rPr>
            </w:pPr>
            <w:r w:rsidRPr="0038140B">
              <w:rPr>
                <w:color w:val="000000"/>
                <w:sz w:val="22"/>
                <w:szCs w:val="22"/>
              </w:rPr>
              <w:t>Higher Education and Upward Mobility</w:t>
            </w:r>
          </w:p>
        </w:tc>
        <w:tc>
          <w:tcPr>
            <w:tcW w:w="4200" w:type="dxa"/>
            <w:tcBorders>
              <w:top w:val="nil"/>
              <w:left w:val="nil"/>
              <w:bottom w:val="nil"/>
              <w:right w:val="nil"/>
            </w:tcBorders>
            <w:shd w:val="clear" w:color="auto" w:fill="auto"/>
            <w:noWrap/>
            <w:hideMark/>
          </w:tcPr>
          <w:p w14:paraId="29A21D45" w14:textId="77777777" w:rsidR="0038140B" w:rsidRPr="0038140B" w:rsidRDefault="0038140B" w:rsidP="0038140B">
            <w:pPr>
              <w:rPr>
                <w:color w:val="000000"/>
                <w:sz w:val="22"/>
                <w:szCs w:val="22"/>
              </w:rPr>
            </w:pPr>
            <w:r w:rsidRPr="0038140B">
              <w:rPr>
                <w:color w:val="000000"/>
                <w:sz w:val="22"/>
                <w:szCs w:val="22"/>
              </w:rPr>
              <w:t>Bayes rule</w:t>
            </w:r>
          </w:p>
        </w:tc>
      </w:tr>
      <w:tr w:rsidR="0038140B" w:rsidRPr="0038140B" w14:paraId="5E128C46" w14:textId="77777777" w:rsidTr="00ED4255">
        <w:trPr>
          <w:trHeight w:val="288"/>
        </w:trPr>
        <w:tc>
          <w:tcPr>
            <w:tcW w:w="736" w:type="dxa"/>
            <w:tcBorders>
              <w:top w:val="nil"/>
              <w:left w:val="nil"/>
              <w:bottom w:val="nil"/>
              <w:right w:val="nil"/>
            </w:tcBorders>
            <w:shd w:val="clear" w:color="auto" w:fill="auto"/>
            <w:hideMark/>
          </w:tcPr>
          <w:p w14:paraId="6299970D" w14:textId="77777777" w:rsidR="0038140B" w:rsidRPr="0038140B" w:rsidRDefault="0038140B" w:rsidP="0038140B">
            <w:pPr>
              <w:jc w:val="center"/>
              <w:rPr>
                <w:color w:val="000000"/>
                <w:sz w:val="22"/>
                <w:szCs w:val="22"/>
              </w:rPr>
            </w:pPr>
            <w:r w:rsidRPr="0038140B">
              <w:rPr>
                <w:color w:val="000000"/>
                <w:sz w:val="22"/>
                <w:szCs w:val="22"/>
              </w:rPr>
              <w:t>7</w:t>
            </w:r>
          </w:p>
        </w:tc>
        <w:tc>
          <w:tcPr>
            <w:tcW w:w="4700" w:type="dxa"/>
            <w:tcBorders>
              <w:top w:val="nil"/>
              <w:left w:val="nil"/>
              <w:bottom w:val="nil"/>
              <w:right w:val="nil"/>
            </w:tcBorders>
            <w:shd w:val="clear" w:color="auto" w:fill="auto"/>
            <w:hideMark/>
          </w:tcPr>
          <w:p w14:paraId="3944BF51" w14:textId="77777777" w:rsidR="0038140B" w:rsidRPr="0038140B" w:rsidRDefault="0038140B" w:rsidP="0038140B">
            <w:pPr>
              <w:rPr>
                <w:color w:val="000000"/>
                <w:sz w:val="22"/>
                <w:szCs w:val="22"/>
              </w:rPr>
            </w:pPr>
            <w:r w:rsidRPr="0038140B">
              <w:rPr>
                <w:color w:val="000000"/>
                <w:sz w:val="22"/>
                <w:szCs w:val="22"/>
              </w:rPr>
              <w:t>The Causal Effect of Colleges</w:t>
            </w:r>
          </w:p>
        </w:tc>
        <w:tc>
          <w:tcPr>
            <w:tcW w:w="4200" w:type="dxa"/>
            <w:tcBorders>
              <w:top w:val="nil"/>
              <w:left w:val="nil"/>
              <w:bottom w:val="nil"/>
              <w:right w:val="nil"/>
            </w:tcBorders>
            <w:shd w:val="clear" w:color="auto" w:fill="auto"/>
            <w:noWrap/>
            <w:hideMark/>
          </w:tcPr>
          <w:p w14:paraId="1D6C47FE" w14:textId="77777777" w:rsidR="0038140B" w:rsidRPr="0038140B" w:rsidRDefault="0038140B" w:rsidP="0038140B">
            <w:pPr>
              <w:rPr>
                <w:color w:val="000000"/>
                <w:sz w:val="22"/>
                <w:szCs w:val="22"/>
              </w:rPr>
            </w:pPr>
            <w:r w:rsidRPr="0038140B">
              <w:rPr>
                <w:color w:val="000000"/>
                <w:sz w:val="22"/>
                <w:szCs w:val="22"/>
              </w:rPr>
              <w:t>regression discontinuity</w:t>
            </w:r>
          </w:p>
        </w:tc>
      </w:tr>
      <w:tr w:rsidR="0038140B" w:rsidRPr="0038140B" w14:paraId="422E5659" w14:textId="77777777" w:rsidTr="00ED4255">
        <w:trPr>
          <w:trHeight w:val="288"/>
        </w:trPr>
        <w:tc>
          <w:tcPr>
            <w:tcW w:w="736" w:type="dxa"/>
            <w:tcBorders>
              <w:top w:val="nil"/>
              <w:left w:val="nil"/>
              <w:bottom w:val="nil"/>
              <w:right w:val="nil"/>
            </w:tcBorders>
            <w:shd w:val="clear" w:color="auto" w:fill="auto"/>
            <w:hideMark/>
          </w:tcPr>
          <w:p w14:paraId="089C51B1" w14:textId="77777777" w:rsidR="0038140B" w:rsidRPr="0038140B" w:rsidRDefault="0038140B" w:rsidP="0038140B">
            <w:pPr>
              <w:jc w:val="center"/>
              <w:rPr>
                <w:color w:val="000000"/>
                <w:sz w:val="22"/>
                <w:szCs w:val="22"/>
              </w:rPr>
            </w:pPr>
            <w:r w:rsidRPr="0038140B">
              <w:rPr>
                <w:color w:val="000000"/>
                <w:sz w:val="22"/>
                <w:szCs w:val="22"/>
              </w:rPr>
              <w:t>8</w:t>
            </w:r>
          </w:p>
        </w:tc>
        <w:tc>
          <w:tcPr>
            <w:tcW w:w="4700" w:type="dxa"/>
            <w:tcBorders>
              <w:top w:val="nil"/>
              <w:left w:val="nil"/>
              <w:bottom w:val="nil"/>
              <w:right w:val="nil"/>
            </w:tcBorders>
            <w:shd w:val="clear" w:color="auto" w:fill="auto"/>
            <w:hideMark/>
          </w:tcPr>
          <w:p w14:paraId="6FF6BB3B" w14:textId="77777777" w:rsidR="0038140B" w:rsidRPr="0038140B" w:rsidRDefault="0038140B" w:rsidP="0038140B">
            <w:pPr>
              <w:rPr>
                <w:color w:val="000000"/>
                <w:sz w:val="22"/>
                <w:szCs w:val="22"/>
              </w:rPr>
            </w:pPr>
            <w:r w:rsidRPr="0038140B">
              <w:rPr>
                <w:color w:val="000000"/>
                <w:sz w:val="22"/>
                <w:szCs w:val="22"/>
              </w:rPr>
              <w:t>Primary Education</w:t>
            </w:r>
          </w:p>
        </w:tc>
        <w:tc>
          <w:tcPr>
            <w:tcW w:w="4200" w:type="dxa"/>
            <w:tcBorders>
              <w:top w:val="nil"/>
              <w:left w:val="nil"/>
              <w:bottom w:val="nil"/>
              <w:right w:val="nil"/>
            </w:tcBorders>
            <w:shd w:val="clear" w:color="auto" w:fill="auto"/>
            <w:noWrap/>
            <w:hideMark/>
          </w:tcPr>
          <w:p w14:paraId="6779AEA8" w14:textId="44DAC65A" w:rsidR="0038140B" w:rsidRPr="0038140B" w:rsidRDefault="006C0AA3" w:rsidP="0038140B">
            <w:pPr>
              <w:rPr>
                <w:color w:val="000000"/>
                <w:sz w:val="22"/>
                <w:szCs w:val="22"/>
              </w:rPr>
            </w:pPr>
            <w:r>
              <w:rPr>
                <w:color w:val="000000"/>
                <w:sz w:val="22"/>
                <w:szCs w:val="22"/>
              </w:rPr>
              <w:t>experiments</w:t>
            </w:r>
          </w:p>
        </w:tc>
      </w:tr>
      <w:tr w:rsidR="0038140B" w:rsidRPr="0038140B" w14:paraId="038FC338" w14:textId="77777777" w:rsidTr="00ED4255">
        <w:trPr>
          <w:trHeight w:val="288"/>
        </w:trPr>
        <w:tc>
          <w:tcPr>
            <w:tcW w:w="736" w:type="dxa"/>
            <w:tcBorders>
              <w:top w:val="nil"/>
              <w:left w:val="nil"/>
              <w:bottom w:val="nil"/>
              <w:right w:val="nil"/>
            </w:tcBorders>
            <w:shd w:val="clear" w:color="auto" w:fill="auto"/>
            <w:hideMark/>
          </w:tcPr>
          <w:p w14:paraId="06B35CB7" w14:textId="77777777" w:rsidR="0038140B" w:rsidRPr="0038140B" w:rsidRDefault="0038140B" w:rsidP="0038140B">
            <w:pPr>
              <w:jc w:val="center"/>
              <w:rPr>
                <w:color w:val="000000"/>
                <w:sz w:val="22"/>
                <w:szCs w:val="22"/>
              </w:rPr>
            </w:pPr>
            <w:r w:rsidRPr="0038140B">
              <w:rPr>
                <w:color w:val="000000"/>
                <w:sz w:val="22"/>
                <w:szCs w:val="22"/>
              </w:rPr>
              <w:t>9</w:t>
            </w:r>
          </w:p>
        </w:tc>
        <w:tc>
          <w:tcPr>
            <w:tcW w:w="4700" w:type="dxa"/>
            <w:tcBorders>
              <w:top w:val="nil"/>
              <w:left w:val="nil"/>
              <w:bottom w:val="nil"/>
              <w:right w:val="nil"/>
            </w:tcBorders>
            <w:shd w:val="clear" w:color="auto" w:fill="auto"/>
            <w:hideMark/>
          </w:tcPr>
          <w:p w14:paraId="29F89DCA" w14:textId="77777777" w:rsidR="0038140B" w:rsidRPr="0038140B" w:rsidRDefault="0038140B" w:rsidP="0038140B">
            <w:pPr>
              <w:rPr>
                <w:color w:val="000000"/>
                <w:sz w:val="22"/>
                <w:szCs w:val="22"/>
              </w:rPr>
            </w:pPr>
            <w:r w:rsidRPr="0038140B">
              <w:rPr>
                <w:color w:val="000000"/>
                <w:sz w:val="22"/>
                <w:szCs w:val="22"/>
              </w:rPr>
              <w:t>Teachers and Charter Schools</w:t>
            </w:r>
          </w:p>
        </w:tc>
        <w:tc>
          <w:tcPr>
            <w:tcW w:w="4200" w:type="dxa"/>
            <w:tcBorders>
              <w:top w:val="nil"/>
              <w:left w:val="nil"/>
              <w:bottom w:val="nil"/>
              <w:right w:val="nil"/>
            </w:tcBorders>
            <w:shd w:val="clear" w:color="auto" w:fill="auto"/>
            <w:noWrap/>
            <w:hideMark/>
          </w:tcPr>
          <w:p w14:paraId="41CA28E5" w14:textId="77777777" w:rsidR="0038140B" w:rsidRPr="0038140B" w:rsidRDefault="0038140B" w:rsidP="0038140B">
            <w:pPr>
              <w:rPr>
                <w:color w:val="000000"/>
                <w:sz w:val="22"/>
                <w:szCs w:val="22"/>
              </w:rPr>
            </w:pPr>
            <w:r w:rsidRPr="0038140B">
              <w:rPr>
                <w:color w:val="000000"/>
                <w:sz w:val="22"/>
                <w:szCs w:val="22"/>
              </w:rPr>
              <w:t>event study designs, competitive equilibrium</w:t>
            </w:r>
          </w:p>
        </w:tc>
      </w:tr>
      <w:tr w:rsidR="0038140B" w:rsidRPr="0038140B" w14:paraId="166367EF" w14:textId="77777777" w:rsidTr="00ED4255">
        <w:trPr>
          <w:trHeight w:val="300"/>
        </w:trPr>
        <w:tc>
          <w:tcPr>
            <w:tcW w:w="736" w:type="dxa"/>
            <w:tcBorders>
              <w:top w:val="nil"/>
              <w:left w:val="nil"/>
              <w:bottom w:val="nil"/>
              <w:right w:val="nil"/>
            </w:tcBorders>
            <w:shd w:val="clear" w:color="auto" w:fill="auto"/>
            <w:hideMark/>
          </w:tcPr>
          <w:p w14:paraId="3D40EFA5"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7F365E89"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63D5A68D" w14:textId="77777777" w:rsidR="0038140B" w:rsidRPr="0038140B" w:rsidRDefault="0038140B" w:rsidP="0038140B">
            <w:pPr>
              <w:rPr>
                <w:sz w:val="20"/>
                <w:szCs w:val="20"/>
              </w:rPr>
            </w:pPr>
          </w:p>
        </w:tc>
      </w:tr>
      <w:tr w:rsidR="0038140B" w:rsidRPr="0038140B" w14:paraId="1E333C88" w14:textId="77777777" w:rsidTr="00ED4255">
        <w:trPr>
          <w:trHeight w:val="288"/>
        </w:trPr>
        <w:tc>
          <w:tcPr>
            <w:tcW w:w="5436" w:type="dxa"/>
            <w:gridSpan w:val="2"/>
            <w:tcBorders>
              <w:top w:val="nil"/>
              <w:left w:val="nil"/>
              <w:bottom w:val="nil"/>
              <w:right w:val="nil"/>
            </w:tcBorders>
            <w:shd w:val="clear" w:color="auto" w:fill="auto"/>
            <w:noWrap/>
            <w:hideMark/>
          </w:tcPr>
          <w:p w14:paraId="7E970733" w14:textId="77777777" w:rsidR="0038140B" w:rsidRPr="0038140B" w:rsidRDefault="0038140B" w:rsidP="0038140B">
            <w:pPr>
              <w:rPr>
                <w:color w:val="000000"/>
                <w:sz w:val="22"/>
                <w:szCs w:val="22"/>
                <w:u w:val="single"/>
              </w:rPr>
            </w:pPr>
            <w:r w:rsidRPr="0038140B">
              <w:rPr>
                <w:color w:val="000000"/>
                <w:sz w:val="22"/>
                <w:szCs w:val="22"/>
                <w:u w:val="single"/>
              </w:rPr>
              <w:t>Part III: Racial Disparities</w:t>
            </w:r>
          </w:p>
        </w:tc>
        <w:tc>
          <w:tcPr>
            <w:tcW w:w="4200" w:type="dxa"/>
            <w:tcBorders>
              <w:top w:val="nil"/>
              <w:left w:val="nil"/>
              <w:bottom w:val="nil"/>
              <w:right w:val="nil"/>
            </w:tcBorders>
            <w:shd w:val="clear" w:color="auto" w:fill="auto"/>
            <w:hideMark/>
          </w:tcPr>
          <w:p w14:paraId="02FC2565" w14:textId="77777777" w:rsidR="0038140B" w:rsidRPr="0038140B" w:rsidRDefault="0038140B" w:rsidP="0038140B">
            <w:pPr>
              <w:rPr>
                <w:color w:val="000000"/>
                <w:sz w:val="22"/>
                <w:szCs w:val="22"/>
                <w:u w:val="single"/>
              </w:rPr>
            </w:pPr>
          </w:p>
        </w:tc>
      </w:tr>
      <w:tr w:rsidR="0038140B" w:rsidRPr="0038140B" w14:paraId="7DED3BD6" w14:textId="77777777" w:rsidTr="00ED4255">
        <w:trPr>
          <w:trHeight w:val="288"/>
        </w:trPr>
        <w:tc>
          <w:tcPr>
            <w:tcW w:w="736" w:type="dxa"/>
            <w:tcBorders>
              <w:top w:val="nil"/>
              <w:left w:val="nil"/>
              <w:bottom w:val="nil"/>
              <w:right w:val="nil"/>
            </w:tcBorders>
            <w:shd w:val="clear" w:color="auto" w:fill="auto"/>
            <w:hideMark/>
          </w:tcPr>
          <w:p w14:paraId="2EA5E0A9" w14:textId="77777777" w:rsidR="0038140B" w:rsidRPr="0038140B" w:rsidRDefault="0038140B" w:rsidP="0038140B">
            <w:pPr>
              <w:jc w:val="center"/>
              <w:rPr>
                <w:color w:val="000000"/>
                <w:sz w:val="22"/>
                <w:szCs w:val="22"/>
              </w:rPr>
            </w:pPr>
            <w:r w:rsidRPr="0038140B">
              <w:rPr>
                <w:color w:val="000000"/>
                <w:sz w:val="22"/>
                <w:szCs w:val="22"/>
              </w:rPr>
              <w:t>10</w:t>
            </w:r>
          </w:p>
        </w:tc>
        <w:tc>
          <w:tcPr>
            <w:tcW w:w="4700" w:type="dxa"/>
            <w:tcBorders>
              <w:top w:val="nil"/>
              <w:left w:val="nil"/>
              <w:bottom w:val="nil"/>
              <w:right w:val="nil"/>
            </w:tcBorders>
            <w:shd w:val="clear" w:color="auto" w:fill="auto"/>
            <w:hideMark/>
          </w:tcPr>
          <w:p w14:paraId="2CA8872A" w14:textId="77777777" w:rsidR="0038140B" w:rsidRPr="0038140B" w:rsidRDefault="0038140B" w:rsidP="0038140B">
            <w:pPr>
              <w:rPr>
                <w:color w:val="000000"/>
                <w:sz w:val="22"/>
                <w:szCs w:val="22"/>
              </w:rPr>
            </w:pPr>
            <w:r w:rsidRPr="0038140B">
              <w:rPr>
                <w:color w:val="000000"/>
                <w:sz w:val="22"/>
                <w:szCs w:val="22"/>
              </w:rPr>
              <w:t>Racial Disparities in Economic Opportunity</w:t>
            </w:r>
          </w:p>
        </w:tc>
        <w:tc>
          <w:tcPr>
            <w:tcW w:w="4200" w:type="dxa"/>
            <w:tcBorders>
              <w:top w:val="nil"/>
              <w:left w:val="nil"/>
              <w:bottom w:val="nil"/>
              <w:right w:val="nil"/>
            </w:tcBorders>
            <w:shd w:val="clear" w:color="auto" w:fill="auto"/>
            <w:noWrap/>
            <w:hideMark/>
          </w:tcPr>
          <w:p w14:paraId="585632F1" w14:textId="77777777" w:rsidR="0038140B" w:rsidRPr="0038140B" w:rsidRDefault="0038140B" w:rsidP="0038140B">
            <w:pPr>
              <w:rPr>
                <w:color w:val="000000"/>
                <w:sz w:val="22"/>
                <w:szCs w:val="22"/>
              </w:rPr>
            </w:pPr>
            <w:r w:rsidRPr="0038140B">
              <w:rPr>
                <w:color w:val="000000"/>
                <w:sz w:val="22"/>
                <w:szCs w:val="22"/>
              </w:rPr>
              <w:t>dynamic models and steady states</w:t>
            </w:r>
          </w:p>
        </w:tc>
      </w:tr>
      <w:tr w:rsidR="0038140B" w:rsidRPr="0038140B" w14:paraId="27EB307D" w14:textId="77777777" w:rsidTr="00ED4255">
        <w:trPr>
          <w:trHeight w:val="288"/>
        </w:trPr>
        <w:tc>
          <w:tcPr>
            <w:tcW w:w="736" w:type="dxa"/>
            <w:tcBorders>
              <w:top w:val="nil"/>
              <w:left w:val="nil"/>
              <w:bottom w:val="nil"/>
              <w:right w:val="nil"/>
            </w:tcBorders>
            <w:shd w:val="clear" w:color="auto" w:fill="auto"/>
            <w:hideMark/>
          </w:tcPr>
          <w:p w14:paraId="111D7D5A"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335E9BDF"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4F8E7A00" w14:textId="77777777" w:rsidR="0038140B" w:rsidRPr="0038140B" w:rsidRDefault="0038140B" w:rsidP="0038140B">
            <w:pPr>
              <w:rPr>
                <w:sz w:val="20"/>
                <w:szCs w:val="20"/>
              </w:rPr>
            </w:pPr>
          </w:p>
        </w:tc>
      </w:tr>
      <w:tr w:rsidR="0038140B" w:rsidRPr="0038140B" w14:paraId="5AB57B5F" w14:textId="77777777" w:rsidTr="00ED4255">
        <w:trPr>
          <w:trHeight w:val="288"/>
        </w:trPr>
        <w:tc>
          <w:tcPr>
            <w:tcW w:w="5436" w:type="dxa"/>
            <w:gridSpan w:val="2"/>
            <w:tcBorders>
              <w:top w:val="nil"/>
              <w:left w:val="nil"/>
              <w:bottom w:val="nil"/>
              <w:right w:val="nil"/>
            </w:tcBorders>
            <w:shd w:val="clear" w:color="auto" w:fill="auto"/>
            <w:noWrap/>
            <w:hideMark/>
          </w:tcPr>
          <w:p w14:paraId="04AFE0C3" w14:textId="77777777" w:rsidR="0038140B" w:rsidRPr="0038140B" w:rsidRDefault="0038140B" w:rsidP="0038140B">
            <w:pPr>
              <w:rPr>
                <w:color w:val="000000"/>
                <w:sz w:val="22"/>
                <w:szCs w:val="22"/>
                <w:u w:val="single"/>
              </w:rPr>
            </w:pPr>
            <w:r w:rsidRPr="0038140B">
              <w:rPr>
                <w:color w:val="000000"/>
                <w:sz w:val="22"/>
                <w:szCs w:val="22"/>
                <w:u w:val="single"/>
              </w:rPr>
              <w:t>Part IV: Health</w:t>
            </w:r>
          </w:p>
        </w:tc>
        <w:tc>
          <w:tcPr>
            <w:tcW w:w="4200" w:type="dxa"/>
            <w:tcBorders>
              <w:top w:val="nil"/>
              <w:left w:val="nil"/>
              <w:bottom w:val="nil"/>
              <w:right w:val="nil"/>
            </w:tcBorders>
            <w:shd w:val="clear" w:color="auto" w:fill="auto"/>
            <w:hideMark/>
          </w:tcPr>
          <w:p w14:paraId="6A4E58E7" w14:textId="77777777" w:rsidR="0038140B" w:rsidRPr="0038140B" w:rsidRDefault="0038140B" w:rsidP="0038140B">
            <w:pPr>
              <w:rPr>
                <w:color w:val="000000"/>
                <w:sz w:val="22"/>
                <w:szCs w:val="22"/>
                <w:u w:val="single"/>
              </w:rPr>
            </w:pPr>
          </w:p>
        </w:tc>
      </w:tr>
      <w:tr w:rsidR="0038140B" w:rsidRPr="0038140B" w14:paraId="3B0E005A" w14:textId="77777777" w:rsidTr="00ED4255">
        <w:trPr>
          <w:trHeight w:val="288"/>
        </w:trPr>
        <w:tc>
          <w:tcPr>
            <w:tcW w:w="736" w:type="dxa"/>
            <w:tcBorders>
              <w:top w:val="nil"/>
              <w:left w:val="nil"/>
              <w:bottom w:val="nil"/>
              <w:right w:val="nil"/>
            </w:tcBorders>
            <w:shd w:val="clear" w:color="auto" w:fill="auto"/>
            <w:hideMark/>
          </w:tcPr>
          <w:p w14:paraId="7F4AC319" w14:textId="77777777" w:rsidR="0038140B" w:rsidRPr="0038140B" w:rsidRDefault="0038140B" w:rsidP="0038140B">
            <w:pPr>
              <w:jc w:val="center"/>
              <w:rPr>
                <w:color w:val="000000"/>
                <w:sz w:val="22"/>
                <w:szCs w:val="22"/>
              </w:rPr>
            </w:pPr>
            <w:r w:rsidRPr="0038140B">
              <w:rPr>
                <w:color w:val="000000"/>
                <w:sz w:val="22"/>
                <w:szCs w:val="22"/>
              </w:rPr>
              <w:t>11</w:t>
            </w:r>
          </w:p>
        </w:tc>
        <w:tc>
          <w:tcPr>
            <w:tcW w:w="4700" w:type="dxa"/>
            <w:tcBorders>
              <w:top w:val="nil"/>
              <w:left w:val="nil"/>
              <w:bottom w:val="nil"/>
              <w:right w:val="nil"/>
            </w:tcBorders>
            <w:shd w:val="clear" w:color="auto" w:fill="auto"/>
            <w:hideMark/>
          </w:tcPr>
          <w:p w14:paraId="722BA33F" w14:textId="77777777" w:rsidR="0038140B" w:rsidRPr="0038140B" w:rsidRDefault="0038140B" w:rsidP="0038140B">
            <w:pPr>
              <w:rPr>
                <w:color w:val="000000"/>
                <w:sz w:val="22"/>
                <w:szCs w:val="22"/>
              </w:rPr>
            </w:pPr>
            <w:r w:rsidRPr="0038140B">
              <w:rPr>
                <w:color w:val="000000"/>
                <w:sz w:val="22"/>
                <w:szCs w:val="22"/>
              </w:rPr>
              <w:t>Improving Health Outcomes</w:t>
            </w:r>
          </w:p>
        </w:tc>
        <w:tc>
          <w:tcPr>
            <w:tcW w:w="4200" w:type="dxa"/>
            <w:tcBorders>
              <w:top w:val="nil"/>
              <w:left w:val="nil"/>
              <w:bottom w:val="nil"/>
              <w:right w:val="nil"/>
            </w:tcBorders>
            <w:shd w:val="clear" w:color="auto" w:fill="auto"/>
            <w:noWrap/>
            <w:hideMark/>
          </w:tcPr>
          <w:p w14:paraId="0F2289D2" w14:textId="77777777" w:rsidR="0038140B" w:rsidRPr="0038140B" w:rsidRDefault="0038140B" w:rsidP="0038140B">
            <w:pPr>
              <w:rPr>
                <w:color w:val="000000"/>
                <w:sz w:val="22"/>
                <w:szCs w:val="22"/>
              </w:rPr>
            </w:pPr>
            <w:r w:rsidRPr="0038140B">
              <w:rPr>
                <w:color w:val="000000"/>
                <w:sz w:val="22"/>
                <w:szCs w:val="22"/>
              </w:rPr>
              <w:t>hazard models</w:t>
            </w:r>
          </w:p>
        </w:tc>
      </w:tr>
      <w:tr w:rsidR="0038140B" w:rsidRPr="0038140B" w14:paraId="2FC3B777" w14:textId="77777777" w:rsidTr="00ED4255">
        <w:trPr>
          <w:trHeight w:val="300"/>
        </w:trPr>
        <w:tc>
          <w:tcPr>
            <w:tcW w:w="736" w:type="dxa"/>
            <w:tcBorders>
              <w:top w:val="nil"/>
              <w:left w:val="nil"/>
              <w:bottom w:val="nil"/>
              <w:right w:val="nil"/>
            </w:tcBorders>
            <w:shd w:val="clear" w:color="auto" w:fill="auto"/>
            <w:hideMark/>
          </w:tcPr>
          <w:p w14:paraId="233045FA" w14:textId="77777777" w:rsidR="0038140B" w:rsidRPr="0038140B" w:rsidRDefault="0038140B" w:rsidP="0038140B">
            <w:pPr>
              <w:jc w:val="center"/>
              <w:rPr>
                <w:color w:val="000000"/>
                <w:sz w:val="22"/>
                <w:szCs w:val="22"/>
              </w:rPr>
            </w:pPr>
            <w:r w:rsidRPr="0038140B">
              <w:rPr>
                <w:color w:val="000000"/>
                <w:sz w:val="22"/>
                <w:szCs w:val="22"/>
              </w:rPr>
              <w:t>12</w:t>
            </w:r>
          </w:p>
        </w:tc>
        <w:tc>
          <w:tcPr>
            <w:tcW w:w="4700" w:type="dxa"/>
            <w:tcBorders>
              <w:top w:val="nil"/>
              <w:left w:val="nil"/>
              <w:bottom w:val="nil"/>
              <w:right w:val="nil"/>
            </w:tcBorders>
            <w:shd w:val="clear" w:color="auto" w:fill="auto"/>
            <w:hideMark/>
          </w:tcPr>
          <w:p w14:paraId="0DF95407" w14:textId="77777777" w:rsidR="0038140B" w:rsidRPr="0038140B" w:rsidRDefault="0038140B" w:rsidP="0038140B">
            <w:pPr>
              <w:rPr>
                <w:color w:val="222222"/>
                <w:sz w:val="22"/>
                <w:szCs w:val="22"/>
              </w:rPr>
            </w:pPr>
            <w:r w:rsidRPr="0038140B">
              <w:rPr>
                <w:color w:val="222222"/>
                <w:sz w:val="22"/>
                <w:szCs w:val="22"/>
              </w:rPr>
              <w:t>The Economics of Health Care and Insurance</w:t>
            </w:r>
          </w:p>
        </w:tc>
        <w:tc>
          <w:tcPr>
            <w:tcW w:w="4200" w:type="dxa"/>
            <w:tcBorders>
              <w:top w:val="nil"/>
              <w:left w:val="nil"/>
              <w:bottom w:val="nil"/>
              <w:right w:val="nil"/>
            </w:tcBorders>
            <w:shd w:val="clear" w:color="auto" w:fill="auto"/>
            <w:noWrap/>
            <w:hideMark/>
          </w:tcPr>
          <w:p w14:paraId="3119399B" w14:textId="77777777" w:rsidR="0038140B" w:rsidRPr="0038140B" w:rsidRDefault="0038140B" w:rsidP="0038140B">
            <w:pPr>
              <w:rPr>
                <w:color w:val="000000"/>
                <w:sz w:val="22"/>
                <w:szCs w:val="22"/>
              </w:rPr>
            </w:pPr>
            <w:r w:rsidRPr="0038140B">
              <w:rPr>
                <w:color w:val="000000"/>
                <w:sz w:val="22"/>
                <w:szCs w:val="22"/>
              </w:rPr>
              <w:t>adverse selection</w:t>
            </w:r>
          </w:p>
        </w:tc>
      </w:tr>
      <w:tr w:rsidR="0038140B" w:rsidRPr="0038140B" w14:paraId="10935CA3" w14:textId="77777777" w:rsidTr="00ED4255">
        <w:trPr>
          <w:trHeight w:val="288"/>
        </w:trPr>
        <w:tc>
          <w:tcPr>
            <w:tcW w:w="736" w:type="dxa"/>
            <w:tcBorders>
              <w:top w:val="nil"/>
              <w:left w:val="nil"/>
              <w:bottom w:val="nil"/>
              <w:right w:val="nil"/>
            </w:tcBorders>
            <w:shd w:val="clear" w:color="auto" w:fill="auto"/>
            <w:noWrap/>
            <w:hideMark/>
          </w:tcPr>
          <w:p w14:paraId="02622700"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noWrap/>
            <w:hideMark/>
          </w:tcPr>
          <w:p w14:paraId="0A7EEB84"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421DE97E" w14:textId="77777777" w:rsidR="0038140B" w:rsidRPr="0038140B" w:rsidRDefault="0038140B" w:rsidP="0038140B">
            <w:pPr>
              <w:rPr>
                <w:sz w:val="20"/>
                <w:szCs w:val="20"/>
              </w:rPr>
            </w:pPr>
          </w:p>
        </w:tc>
      </w:tr>
      <w:tr w:rsidR="0038140B" w:rsidRPr="0038140B" w14:paraId="215F3A30" w14:textId="77777777" w:rsidTr="00ED4255">
        <w:trPr>
          <w:trHeight w:val="288"/>
        </w:trPr>
        <w:tc>
          <w:tcPr>
            <w:tcW w:w="5436" w:type="dxa"/>
            <w:gridSpan w:val="2"/>
            <w:tcBorders>
              <w:top w:val="nil"/>
              <w:left w:val="nil"/>
              <w:bottom w:val="nil"/>
              <w:right w:val="nil"/>
            </w:tcBorders>
            <w:shd w:val="clear" w:color="auto" w:fill="auto"/>
            <w:noWrap/>
            <w:hideMark/>
          </w:tcPr>
          <w:p w14:paraId="0055838E" w14:textId="77777777" w:rsidR="0038140B" w:rsidRPr="0038140B" w:rsidRDefault="0038140B" w:rsidP="0038140B">
            <w:pPr>
              <w:rPr>
                <w:color w:val="000000"/>
                <w:sz w:val="22"/>
                <w:szCs w:val="22"/>
                <w:u w:val="single"/>
              </w:rPr>
            </w:pPr>
            <w:r w:rsidRPr="0038140B">
              <w:rPr>
                <w:color w:val="000000"/>
                <w:sz w:val="22"/>
                <w:szCs w:val="22"/>
                <w:u w:val="single"/>
              </w:rPr>
              <w:t>Part V: Criminal Justice</w:t>
            </w:r>
          </w:p>
        </w:tc>
        <w:tc>
          <w:tcPr>
            <w:tcW w:w="4200" w:type="dxa"/>
            <w:tcBorders>
              <w:top w:val="nil"/>
              <w:left w:val="nil"/>
              <w:bottom w:val="nil"/>
              <w:right w:val="nil"/>
            </w:tcBorders>
            <w:shd w:val="clear" w:color="auto" w:fill="auto"/>
            <w:noWrap/>
            <w:hideMark/>
          </w:tcPr>
          <w:p w14:paraId="6BA483BF" w14:textId="77777777" w:rsidR="0038140B" w:rsidRPr="0038140B" w:rsidRDefault="0038140B" w:rsidP="0038140B">
            <w:pPr>
              <w:rPr>
                <w:color w:val="000000"/>
                <w:sz w:val="22"/>
                <w:szCs w:val="22"/>
                <w:u w:val="single"/>
              </w:rPr>
            </w:pPr>
          </w:p>
        </w:tc>
      </w:tr>
      <w:tr w:rsidR="0038140B" w:rsidRPr="0038140B" w14:paraId="2F1779D2" w14:textId="77777777" w:rsidTr="00ED4255">
        <w:trPr>
          <w:trHeight w:val="288"/>
        </w:trPr>
        <w:tc>
          <w:tcPr>
            <w:tcW w:w="736" w:type="dxa"/>
            <w:tcBorders>
              <w:top w:val="nil"/>
              <w:left w:val="nil"/>
              <w:bottom w:val="nil"/>
              <w:right w:val="nil"/>
            </w:tcBorders>
            <w:shd w:val="clear" w:color="auto" w:fill="auto"/>
            <w:hideMark/>
          </w:tcPr>
          <w:p w14:paraId="5D4818C8" w14:textId="77777777" w:rsidR="0038140B" w:rsidRPr="0038140B" w:rsidRDefault="0038140B" w:rsidP="0038140B">
            <w:pPr>
              <w:jc w:val="center"/>
              <w:rPr>
                <w:color w:val="000000"/>
                <w:sz w:val="22"/>
                <w:szCs w:val="22"/>
              </w:rPr>
            </w:pPr>
            <w:r w:rsidRPr="0038140B">
              <w:rPr>
                <w:color w:val="000000"/>
                <w:sz w:val="22"/>
                <w:szCs w:val="22"/>
              </w:rPr>
              <w:t>13</w:t>
            </w:r>
          </w:p>
        </w:tc>
        <w:tc>
          <w:tcPr>
            <w:tcW w:w="4700" w:type="dxa"/>
            <w:tcBorders>
              <w:top w:val="nil"/>
              <w:left w:val="nil"/>
              <w:bottom w:val="nil"/>
              <w:right w:val="nil"/>
            </w:tcBorders>
            <w:shd w:val="clear" w:color="auto" w:fill="auto"/>
            <w:hideMark/>
          </w:tcPr>
          <w:p w14:paraId="31EB863A" w14:textId="77777777" w:rsidR="0038140B" w:rsidRPr="0038140B" w:rsidRDefault="0038140B" w:rsidP="0038140B">
            <w:pPr>
              <w:rPr>
                <w:color w:val="000000"/>
                <w:sz w:val="22"/>
                <w:szCs w:val="22"/>
              </w:rPr>
            </w:pPr>
            <w:r w:rsidRPr="0038140B">
              <w:rPr>
                <w:color w:val="000000"/>
                <w:sz w:val="22"/>
                <w:szCs w:val="22"/>
              </w:rPr>
              <w:t>Improving Judicial Decisions</w:t>
            </w:r>
          </w:p>
        </w:tc>
        <w:tc>
          <w:tcPr>
            <w:tcW w:w="4200" w:type="dxa"/>
            <w:tcBorders>
              <w:top w:val="nil"/>
              <w:left w:val="nil"/>
              <w:bottom w:val="nil"/>
              <w:right w:val="nil"/>
            </w:tcBorders>
            <w:shd w:val="clear" w:color="auto" w:fill="auto"/>
            <w:noWrap/>
            <w:hideMark/>
          </w:tcPr>
          <w:p w14:paraId="3389232E" w14:textId="77777777" w:rsidR="0038140B" w:rsidRPr="0038140B" w:rsidRDefault="0038140B" w:rsidP="0038140B">
            <w:pPr>
              <w:rPr>
                <w:color w:val="000000"/>
                <w:sz w:val="22"/>
                <w:szCs w:val="22"/>
              </w:rPr>
            </w:pPr>
            <w:r w:rsidRPr="0038140B">
              <w:rPr>
                <w:color w:val="000000"/>
                <w:sz w:val="22"/>
                <w:szCs w:val="22"/>
              </w:rPr>
              <w:t>machine learning</w:t>
            </w:r>
          </w:p>
        </w:tc>
      </w:tr>
      <w:tr w:rsidR="0038140B" w:rsidRPr="0038140B" w14:paraId="2CB6F5D8" w14:textId="77777777" w:rsidTr="00ED4255">
        <w:trPr>
          <w:trHeight w:val="288"/>
        </w:trPr>
        <w:tc>
          <w:tcPr>
            <w:tcW w:w="736" w:type="dxa"/>
            <w:tcBorders>
              <w:top w:val="nil"/>
              <w:left w:val="nil"/>
              <w:bottom w:val="nil"/>
              <w:right w:val="nil"/>
            </w:tcBorders>
            <w:shd w:val="clear" w:color="auto" w:fill="auto"/>
            <w:hideMark/>
          </w:tcPr>
          <w:p w14:paraId="32A94C86"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hideMark/>
          </w:tcPr>
          <w:p w14:paraId="23E9855A" w14:textId="77777777" w:rsidR="0038140B" w:rsidRPr="0038140B" w:rsidRDefault="0038140B" w:rsidP="0038140B">
            <w:pPr>
              <w:jc w:val="center"/>
              <w:rPr>
                <w:sz w:val="20"/>
                <w:szCs w:val="20"/>
              </w:rPr>
            </w:pPr>
          </w:p>
        </w:tc>
        <w:tc>
          <w:tcPr>
            <w:tcW w:w="4200" w:type="dxa"/>
            <w:tcBorders>
              <w:top w:val="nil"/>
              <w:left w:val="nil"/>
              <w:bottom w:val="nil"/>
              <w:right w:val="nil"/>
            </w:tcBorders>
            <w:shd w:val="clear" w:color="auto" w:fill="auto"/>
            <w:noWrap/>
            <w:hideMark/>
          </w:tcPr>
          <w:p w14:paraId="50AD8AE9" w14:textId="77777777" w:rsidR="0038140B" w:rsidRPr="0038140B" w:rsidRDefault="0038140B" w:rsidP="0038140B">
            <w:pPr>
              <w:rPr>
                <w:sz w:val="20"/>
                <w:szCs w:val="20"/>
              </w:rPr>
            </w:pPr>
          </w:p>
        </w:tc>
      </w:tr>
      <w:tr w:rsidR="0038140B" w:rsidRPr="0038140B" w14:paraId="0620D598" w14:textId="77777777" w:rsidTr="00ED4255">
        <w:trPr>
          <w:trHeight w:val="288"/>
        </w:trPr>
        <w:tc>
          <w:tcPr>
            <w:tcW w:w="5436" w:type="dxa"/>
            <w:gridSpan w:val="2"/>
            <w:tcBorders>
              <w:top w:val="nil"/>
              <w:left w:val="nil"/>
              <w:bottom w:val="nil"/>
              <w:right w:val="nil"/>
            </w:tcBorders>
            <w:shd w:val="clear" w:color="auto" w:fill="auto"/>
            <w:hideMark/>
          </w:tcPr>
          <w:p w14:paraId="02023A36" w14:textId="77777777" w:rsidR="0038140B" w:rsidRPr="0038140B" w:rsidRDefault="0038140B" w:rsidP="0038140B">
            <w:pPr>
              <w:rPr>
                <w:color w:val="000000"/>
                <w:sz w:val="22"/>
                <w:szCs w:val="22"/>
                <w:u w:val="single"/>
              </w:rPr>
            </w:pPr>
            <w:r w:rsidRPr="0038140B">
              <w:rPr>
                <w:color w:val="000000"/>
                <w:sz w:val="22"/>
                <w:szCs w:val="22"/>
                <w:u w:val="single"/>
              </w:rPr>
              <w:t>Part VI: Climate Change</w:t>
            </w:r>
          </w:p>
        </w:tc>
        <w:tc>
          <w:tcPr>
            <w:tcW w:w="4200" w:type="dxa"/>
            <w:tcBorders>
              <w:top w:val="nil"/>
              <w:left w:val="nil"/>
              <w:bottom w:val="nil"/>
              <w:right w:val="nil"/>
            </w:tcBorders>
            <w:shd w:val="clear" w:color="auto" w:fill="auto"/>
            <w:noWrap/>
            <w:hideMark/>
          </w:tcPr>
          <w:p w14:paraId="2A7FDBD2" w14:textId="77777777" w:rsidR="0038140B" w:rsidRPr="0038140B" w:rsidRDefault="0038140B" w:rsidP="0038140B">
            <w:pPr>
              <w:rPr>
                <w:color w:val="000000"/>
                <w:sz w:val="22"/>
                <w:szCs w:val="22"/>
                <w:u w:val="single"/>
              </w:rPr>
            </w:pPr>
          </w:p>
        </w:tc>
      </w:tr>
      <w:tr w:rsidR="0038140B" w:rsidRPr="0038140B" w14:paraId="20230111" w14:textId="77777777" w:rsidTr="00ED4255">
        <w:trPr>
          <w:trHeight w:val="288"/>
        </w:trPr>
        <w:tc>
          <w:tcPr>
            <w:tcW w:w="736" w:type="dxa"/>
            <w:tcBorders>
              <w:top w:val="nil"/>
              <w:left w:val="nil"/>
              <w:bottom w:val="nil"/>
              <w:right w:val="nil"/>
            </w:tcBorders>
            <w:shd w:val="clear" w:color="auto" w:fill="auto"/>
            <w:hideMark/>
          </w:tcPr>
          <w:p w14:paraId="34AEEB95" w14:textId="77777777" w:rsidR="0038140B" w:rsidRPr="0038140B" w:rsidRDefault="0038140B" w:rsidP="0038140B">
            <w:pPr>
              <w:jc w:val="center"/>
              <w:rPr>
                <w:color w:val="000000"/>
                <w:sz w:val="22"/>
                <w:szCs w:val="22"/>
              </w:rPr>
            </w:pPr>
            <w:r w:rsidRPr="0038140B">
              <w:rPr>
                <w:color w:val="000000"/>
                <w:sz w:val="22"/>
                <w:szCs w:val="22"/>
              </w:rPr>
              <w:t>14</w:t>
            </w:r>
          </w:p>
        </w:tc>
        <w:tc>
          <w:tcPr>
            <w:tcW w:w="4700" w:type="dxa"/>
            <w:tcBorders>
              <w:top w:val="nil"/>
              <w:left w:val="nil"/>
              <w:bottom w:val="nil"/>
              <w:right w:val="nil"/>
            </w:tcBorders>
            <w:shd w:val="clear" w:color="auto" w:fill="auto"/>
            <w:hideMark/>
          </w:tcPr>
          <w:p w14:paraId="359071EB" w14:textId="77777777" w:rsidR="0038140B" w:rsidRPr="0038140B" w:rsidRDefault="0038140B" w:rsidP="0038140B">
            <w:pPr>
              <w:rPr>
                <w:color w:val="000000"/>
                <w:sz w:val="22"/>
                <w:szCs w:val="22"/>
              </w:rPr>
            </w:pPr>
            <w:r w:rsidRPr="0038140B">
              <w:rPr>
                <w:color w:val="000000"/>
                <w:sz w:val="22"/>
                <w:szCs w:val="22"/>
              </w:rPr>
              <w:t>Effects of Air and Water Pollution</w:t>
            </w:r>
          </w:p>
        </w:tc>
        <w:tc>
          <w:tcPr>
            <w:tcW w:w="4200" w:type="dxa"/>
            <w:tcBorders>
              <w:top w:val="nil"/>
              <w:left w:val="nil"/>
              <w:bottom w:val="nil"/>
              <w:right w:val="nil"/>
            </w:tcBorders>
            <w:shd w:val="clear" w:color="auto" w:fill="auto"/>
            <w:noWrap/>
            <w:hideMark/>
          </w:tcPr>
          <w:p w14:paraId="016F2675" w14:textId="77777777" w:rsidR="0038140B" w:rsidRPr="0038140B" w:rsidRDefault="0038140B" w:rsidP="0038140B">
            <w:pPr>
              <w:rPr>
                <w:color w:val="000000"/>
                <w:sz w:val="22"/>
                <w:szCs w:val="22"/>
              </w:rPr>
            </w:pPr>
            <w:r w:rsidRPr="0038140B">
              <w:rPr>
                <w:color w:val="000000"/>
                <w:sz w:val="22"/>
                <w:szCs w:val="22"/>
              </w:rPr>
              <w:t>diff-in-differences, externalities</w:t>
            </w:r>
          </w:p>
        </w:tc>
      </w:tr>
      <w:tr w:rsidR="0038140B" w:rsidRPr="0038140B" w14:paraId="454942DC" w14:textId="77777777" w:rsidTr="00ED4255">
        <w:trPr>
          <w:trHeight w:val="288"/>
        </w:trPr>
        <w:tc>
          <w:tcPr>
            <w:tcW w:w="736" w:type="dxa"/>
            <w:tcBorders>
              <w:top w:val="nil"/>
              <w:left w:val="nil"/>
              <w:bottom w:val="nil"/>
              <w:right w:val="nil"/>
            </w:tcBorders>
            <w:shd w:val="clear" w:color="auto" w:fill="auto"/>
            <w:hideMark/>
          </w:tcPr>
          <w:p w14:paraId="79ECA33E" w14:textId="77777777" w:rsidR="0038140B" w:rsidRPr="0038140B" w:rsidRDefault="0038140B" w:rsidP="0038140B">
            <w:pPr>
              <w:jc w:val="center"/>
              <w:rPr>
                <w:color w:val="000000"/>
                <w:sz w:val="22"/>
                <w:szCs w:val="22"/>
              </w:rPr>
            </w:pPr>
            <w:r w:rsidRPr="0038140B">
              <w:rPr>
                <w:color w:val="000000"/>
                <w:sz w:val="22"/>
                <w:szCs w:val="22"/>
              </w:rPr>
              <w:t>15</w:t>
            </w:r>
          </w:p>
        </w:tc>
        <w:tc>
          <w:tcPr>
            <w:tcW w:w="4700" w:type="dxa"/>
            <w:tcBorders>
              <w:top w:val="nil"/>
              <w:left w:val="nil"/>
              <w:bottom w:val="nil"/>
              <w:right w:val="nil"/>
            </w:tcBorders>
            <w:shd w:val="clear" w:color="auto" w:fill="auto"/>
            <w:hideMark/>
          </w:tcPr>
          <w:p w14:paraId="063F8477" w14:textId="77777777" w:rsidR="0038140B" w:rsidRPr="0038140B" w:rsidRDefault="0038140B" w:rsidP="0038140B">
            <w:pPr>
              <w:rPr>
                <w:color w:val="000000"/>
                <w:sz w:val="22"/>
                <w:szCs w:val="22"/>
              </w:rPr>
            </w:pPr>
            <w:r w:rsidRPr="0038140B">
              <w:rPr>
                <w:color w:val="000000"/>
                <w:sz w:val="22"/>
                <w:szCs w:val="22"/>
              </w:rPr>
              <w:t>Policies to Mitigate Climate Change</w:t>
            </w:r>
          </w:p>
        </w:tc>
        <w:tc>
          <w:tcPr>
            <w:tcW w:w="4200" w:type="dxa"/>
            <w:tcBorders>
              <w:top w:val="nil"/>
              <w:left w:val="nil"/>
              <w:bottom w:val="nil"/>
              <w:right w:val="nil"/>
            </w:tcBorders>
            <w:shd w:val="clear" w:color="auto" w:fill="auto"/>
            <w:noWrap/>
            <w:hideMark/>
          </w:tcPr>
          <w:p w14:paraId="4DC9798F" w14:textId="77777777" w:rsidR="0038140B" w:rsidRPr="0038140B" w:rsidRDefault="0038140B" w:rsidP="0038140B">
            <w:pPr>
              <w:rPr>
                <w:color w:val="000000"/>
                <w:sz w:val="22"/>
                <w:szCs w:val="22"/>
              </w:rPr>
            </w:pPr>
            <w:r w:rsidRPr="0038140B">
              <w:rPr>
                <w:color w:val="000000"/>
                <w:sz w:val="22"/>
                <w:szCs w:val="22"/>
              </w:rPr>
              <w:t>discount rates, external validity</w:t>
            </w:r>
          </w:p>
        </w:tc>
      </w:tr>
      <w:tr w:rsidR="0038140B" w:rsidRPr="0038140B" w14:paraId="2FB85A94" w14:textId="77777777" w:rsidTr="00ED4255">
        <w:trPr>
          <w:trHeight w:val="288"/>
        </w:trPr>
        <w:tc>
          <w:tcPr>
            <w:tcW w:w="736" w:type="dxa"/>
            <w:tcBorders>
              <w:top w:val="nil"/>
              <w:left w:val="nil"/>
              <w:bottom w:val="nil"/>
              <w:right w:val="nil"/>
            </w:tcBorders>
            <w:shd w:val="clear" w:color="auto" w:fill="auto"/>
            <w:noWrap/>
            <w:hideMark/>
          </w:tcPr>
          <w:p w14:paraId="2696B895"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noWrap/>
            <w:hideMark/>
          </w:tcPr>
          <w:p w14:paraId="7F33EA9E"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05BC9BF9" w14:textId="77777777" w:rsidR="0038140B" w:rsidRPr="0038140B" w:rsidRDefault="0038140B" w:rsidP="0038140B">
            <w:pPr>
              <w:rPr>
                <w:sz w:val="20"/>
                <w:szCs w:val="20"/>
              </w:rPr>
            </w:pPr>
          </w:p>
        </w:tc>
      </w:tr>
      <w:tr w:rsidR="0038140B" w:rsidRPr="0038140B" w14:paraId="24F686F4" w14:textId="77777777" w:rsidTr="00ED4255">
        <w:trPr>
          <w:trHeight w:val="288"/>
        </w:trPr>
        <w:tc>
          <w:tcPr>
            <w:tcW w:w="5436" w:type="dxa"/>
            <w:gridSpan w:val="2"/>
            <w:tcBorders>
              <w:top w:val="nil"/>
              <w:left w:val="nil"/>
              <w:bottom w:val="nil"/>
              <w:right w:val="nil"/>
            </w:tcBorders>
            <w:shd w:val="clear" w:color="auto" w:fill="auto"/>
            <w:noWrap/>
            <w:hideMark/>
          </w:tcPr>
          <w:p w14:paraId="4E779F4E" w14:textId="77777777" w:rsidR="0038140B" w:rsidRPr="0038140B" w:rsidRDefault="0038140B" w:rsidP="0038140B">
            <w:pPr>
              <w:rPr>
                <w:color w:val="000000"/>
                <w:sz w:val="22"/>
                <w:szCs w:val="22"/>
                <w:u w:val="single"/>
              </w:rPr>
            </w:pPr>
            <w:r w:rsidRPr="0038140B">
              <w:rPr>
                <w:color w:val="000000"/>
                <w:sz w:val="22"/>
                <w:szCs w:val="22"/>
                <w:u w:val="single"/>
              </w:rPr>
              <w:t>Part VII: Tax Policy</w:t>
            </w:r>
          </w:p>
        </w:tc>
        <w:tc>
          <w:tcPr>
            <w:tcW w:w="4200" w:type="dxa"/>
            <w:tcBorders>
              <w:top w:val="nil"/>
              <w:left w:val="nil"/>
              <w:bottom w:val="nil"/>
              <w:right w:val="nil"/>
            </w:tcBorders>
            <w:shd w:val="clear" w:color="auto" w:fill="auto"/>
            <w:noWrap/>
            <w:hideMark/>
          </w:tcPr>
          <w:p w14:paraId="5E274E5F" w14:textId="77777777" w:rsidR="0038140B" w:rsidRPr="0038140B" w:rsidRDefault="0038140B" w:rsidP="0038140B">
            <w:pPr>
              <w:rPr>
                <w:color w:val="000000"/>
                <w:sz w:val="22"/>
                <w:szCs w:val="22"/>
                <w:u w:val="single"/>
              </w:rPr>
            </w:pPr>
          </w:p>
        </w:tc>
      </w:tr>
      <w:tr w:rsidR="0038140B" w:rsidRPr="0038140B" w14:paraId="4C65A22B" w14:textId="77777777" w:rsidTr="00ED4255">
        <w:trPr>
          <w:trHeight w:val="288"/>
        </w:trPr>
        <w:tc>
          <w:tcPr>
            <w:tcW w:w="736" w:type="dxa"/>
            <w:tcBorders>
              <w:top w:val="nil"/>
              <w:left w:val="nil"/>
              <w:bottom w:val="nil"/>
              <w:right w:val="nil"/>
            </w:tcBorders>
            <w:shd w:val="clear" w:color="auto" w:fill="auto"/>
            <w:hideMark/>
          </w:tcPr>
          <w:p w14:paraId="20A3FC75" w14:textId="77777777" w:rsidR="0038140B" w:rsidRPr="0038140B" w:rsidRDefault="0038140B" w:rsidP="0038140B">
            <w:pPr>
              <w:jc w:val="center"/>
              <w:rPr>
                <w:color w:val="000000"/>
                <w:sz w:val="22"/>
                <w:szCs w:val="22"/>
              </w:rPr>
            </w:pPr>
            <w:r w:rsidRPr="0038140B">
              <w:rPr>
                <w:color w:val="000000"/>
                <w:sz w:val="22"/>
                <w:szCs w:val="22"/>
              </w:rPr>
              <w:t>16</w:t>
            </w:r>
          </w:p>
        </w:tc>
        <w:tc>
          <w:tcPr>
            <w:tcW w:w="4700" w:type="dxa"/>
            <w:tcBorders>
              <w:top w:val="nil"/>
              <w:left w:val="nil"/>
              <w:bottom w:val="nil"/>
              <w:right w:val="nil"/>
            </w:tcBorders>
            <w:shd w:val="clear" w:color="auto" w:fill="auto"/>
            <w:noWrap/>
            <w:hideMark/>
          </w:tcPr>
          <w:p w14:paraId="4E18E8B9" w14:textId="77777777" w:rsidR="0038140B" w:rsidRPr="0038140B" w:rsidRDefault="0038140B" w:rsidP="0038140B">
            <w:pPr>
              <w:rPr>
                <w:color w:val="000000"/>
                <w:sz w:val="22"/>
                <w:szCs w:val="22"/>
              </w:rPr>
            </w:pPr>
            <w:r w:rsidRPr="0038140B">
              <w:rPr>
                <w:color w:val="000000"/>
                <w:sz w:val="22"/>
                <w:szCs w:val="22"/>
              </w:rPr>
              <w:t>Tax Policy 1: Income Taxation</w:t>
            </w:r>
          </w:p>
        </w:tc>
        <w:tc>
          <w:tcPr>
            <w:tcW w:w="4200" w:type="dxa"/>
            <w:tcBorders>
              <w:top w:val="nil"/>
              <w:left w:val="nil"/>
              <w:bottom w:val="nil"/>
              <w:right w:val="nil"/>
            </w:tcBorders>
            <w:shd w:val="clear" w:color="auto" w:fill="auto"/>
            <w:noWrap/>
            <w:hideMark/>
          </w:tcPr>
          <w:p w14:paraId="618D7BCA" w14:textId="77777777" w:rsidR="00F64C26" w:rsidRDefault="0038140B" w:rsidP="0038140B">
            <w:pPr>
              <w:rPr>
                <w:color w:val="000000"/>
                <w:sz w:val="22"/>
                <w:szCs w:val="22"/>
              </w:rPr>
            </w:pPr>
            <w:r w:rsidRPr="0038140B">
              <w:rPr>
                <w:color w:val="000000"/>
                <w:sz w:val="22"/>
                <w:szCs w:val="22"/>
              </w:rPr>
              <w:t xml:space="preserve">supply and demand models, </w:t>
            </w:r>
          </w:p>
          <w:p w14:paraId="2CA4E157" w14:textId="67BD3B01" w:rsidR="0038140B" w:rsidRPr="0038140B" w:rsidRDefault="0038140B" w:rsidP="0038140B">
            <w:pPr>
              <w:rPr>
                <w:color w:val="000000"/>
                <w:sz w:val="22"/>
                <w:szCs w:val="22"/>
              </w:rPr>
            </w:pPr>
            <w:r w:rsidRPr="0038140B">
              <w:rPr>
                <w:color w:val="000000"/>
                <w:sz w:val="22"/>
                <w:szCs w:val="22"/>
              </w:rPr>
              <w:t>synthetic controls</w:t>
            </w:r>
          </w:p>
        </w:tc>
      </w:tr>
      <w:tr w:rsidR="0038140B" w:rsidRPr="0038140B" w14:paraId="728D8341" w14:textId="77777777" w:rsidTr="00ED4255">
        <w:trPr>
          <w:trHeight w:val="288"/>
        </w:trPr>
        <w:tc>
          <w:tcPr>
            <w:tcW w:w="736" w:type="dxa"/>
            <w:tcBorders>
              <w:top w:val="nil"/>
              <w:left w:val="nil"/>
              <w:bottom w:val="nil"/>
              <w:right w:val="nil"/>
            </w:tcBorders>
            <w:shd w:val="clear" w:color="auto" w:fill="auto"/>
            <w:hideMark/>
          </w:tcPr>
          <w:p w14:paraId="720B241C" w14:textId="77777777" w:rsidR="0038140B" w:rsidRPr="0038140B" w:rsidRDefault="0038140B" w:rsidP="0038140B">
            <w:pPr>
              <w:jc w:val="center"/>
              <w:rPr>
                <w:color w:val="000000"/>
                <w:sz w:val="22"/>
                <w:szCs w:val="22"/>
              </w:rPr>
            </w:pPr>
            <w:r w:rsidRPr="0038140B">
              <w:rPr>
                <w:color w:val="000000"/>
                <w:sz w:val="22"/>
                <w:szCs w:val="22"/>
              </w:rPr>
              <w:t>17</w:t>
            </w:r>
          </w:p>
        </w:tc>
        <w:tc>
          <w:tcPr>
            <w:tcW w:w="4700" w:type="dxa"/>
            <w:tcBorders>
              <w:top w:val="nil"/>
              <w:left w:val="nil"/>
              <w:bottom w:val="nil"/>
              <w:right w:val="nil"/>
            </w:tcBorders>
            <w:shd w:val="clear" w:color="auto" w:fill="auto"/>
            <w:noWrap/>
            <w:hideMark/>
          </w:tcPr>
          <w:p w14:paraId="307533DE" w14:textId="77777777" w:rsidR="0038140B" w:rsidRPr="0038140B" w:rsidRDefault="0038140B" w:rsidP="0038140B">
            <w:pPr>
              <w:rPr>
                <w:color w:val="000000"/>
                <w:sz w:val="22"/>
                <w:szCs w:val="22"/>
              </w:rPr>
            </w:pPr>
            <w:r w:rsidRPr="0038140B">
              <w:rPr>
                <w:color w:val="000000"/>
                <w:sz w:val="22"/>
                <w:szCs w:val="22"/>
              </w:rPr>
              <w:t>Tax Policy 2: Savings and Wealth</w:t>
            </w:r>
          </w:p>
        </w:tc>
        <w:tc>
          <w:tcPr>
            <w:tcW w:w="4200" w:type="dxa"/>
            <w:tcBorders>
              <w:top w:val="nil"/>
              <w:left w:val="nil"/>
              <w:bottom w:val="nil"/>
              <w:right w:val="nil"/>
            </w:tcBorders>
            <w:shd w:val="clear" w:color="auto" w:fill="auto"/>
            <w:noWrap/>
            <w:hideMark/>
          </w:tcPr>
          <w:p w14:paraId="1B53A27E" w14:textId="77777777" w:rsidR="0038140B" w:rsidRPr="0038140B" w:rsidRDefault="0038140B" w:rsidP="0038140B">
            <w:pPr>
              <w:rPr>
                <w:color w:val="000000"/>
                <w:sz w:val="22"/>
                <w:szCs w:val="22"/>
              </w:rPr>
            </w:pPr>
            <w:r w:rsidRPr="0038140B">
              <w:rPr>
                <w:color w:val="000000"/>
                <w:sz w:val="22"/>
                <w:szCs w:val="22"/>
              </w:rPr>
              <w:t>behavioral economics</w:t>
            </w:r>
          </w:p>
        </w:tc>
      </w:tr>
      <w:tr w:rsidR="0038140B" w:rsidRPr="0038140B" w14:paraId="6D95EB5C" w14:textId="77777777" w:rsidTr="00ED4255">
        <w:trPr>
          <w:trHeight w:val="288"/>
        </w:trPr>
        <w:tc>
          <w:tcPr>
            <w:tcW w:w="736" w:type="dxa"/>
            <w:tcBorders>
              <w:top w:val="nil"/>
              <w:left w:val="nil"/>
              <w:bottom w:val="nil"/>
              <w:right w:val="nil"/>
            </w:tcBorders>
            <w:shd w:val="clear" w:color="auto" w:fill="auto"/>
            <w:noWrap/>
            <w:hideMark/>
          </w:tcPr>
          <w:p w14:paraId="39F13964" w14:textId="77777777" w:rsidR="0038140B" w:rsidRPr="0038140B" w:rsidRDefault="0038140B" w:rsidP="0038140B">
            <w:pPr>
              <w:rPr>
                <w:color w:val="000000"/>
                <w:sz w:val="22"/>
                <w:szCs w:val="22"/>
              </w:rPr>
            </w:pPr>
          </w:p>
        </w:tc>
        <w:tc>
          <w:tcPr>
            <w:tcW w:w="4700" w:type="dxa"/>
            <w:tcBorders>
              <w:top w:val="nil"/>
              <w:left w:val="nil"/>
              <w:bottom w:val="nil"/>
              <w:right w:val="nil"/>
            </w:tcBorders>
            <w:shd w:val="clear" w:color="auto" w:fill="auto"/>
            <w:noWrap/>
            <w:hideMark/>
          </w:tcPr>
          <w:p w14:paraId="76339701" w14:textId="77777777" w:rsidR="0038140B" w:rsidRPr="0038140B" w:rsidRDefault="0038140B" w:rsidP="0038140B">
            <w:pPr>
              <w:rPr>
                <w:sz w:val="20"/>
                <w:szCs w:val="20"/>
              </w:rPr>
            </w:pPr>
          </w:p>
        </w:tc>
        <w:tc>
          <w:tcPr>
            <w:tcW w:w="4200" w:type="dxa"/>
            <w:tcBorders>
              <w:top w:val="nil"/>
              <w:left w:val="nil"/>
              <w:bottom w:val="nil"/>
              <w:right w:val="nil"/>
            </w:tcBorders>
            <w:shd w:val="clear" w:color="auto" w:fill="auto"/>
            <w:noWrap/>
            <w:hideMark/>
          </w:tcPr>
          <w:p w14:paraId="3434EDDC" w14:textId="77777777" w:rsidR="0038140B" w:rsidRPr="0038140B" w:rsidRDefault="0038140B" w:rsidP="0038140B">
            <w:pPr>
              <w:rPr>
                <w:sz w:val="20"/>
                <w:szCs w:val="20"/>
              </w:rPr>
            </w:pPr>
          </w:p>
        </w:tc>
      </w:tr>
      <w:tr w:rsidR="00ED4255" w:rsidRPr="0038140B" w14:paraId="56A46AC5" w14:textId="77777777" w:rsidTr="00ED4255">
        <w:trPr>
          <w:trHeight w:val="288"/>
        </w:trPr>
        <w:tc>
          <w:tcPr>
            <w:tcW w:w="9636" w:type="dxa"/>
            <w:gridSpan w:val="3"/>
            <w:tcBorders>
              <w:top w:val="nil"/>
              <w:left w:val="nil"/>
              <w:bottom w:val="nil"/>
              <w:right w:val="nil"/>
            </w:tcBorders>
            <w:shd w:val="clear" w:color="auto" w:fill="auto"/>
            <w:noWrap/>
            <w:hideMark/>
          </w:tcPr>
          <w:p w14:paraId="778C2640" w14:textId="11A70639" w:rsidR="00ED4255" w:rsidRPr="0038140B" w:rsidRDefault="00ED4255" w:rsidP="0038140B">
            <w:pPr>
              <w:rPr>
                <w:color w:val="000000"/>
                <w:sz w:val="22"/>
                <w:szCs w:val="22"/>
                <w:u w:val="single"/>
              </w:rPr>
            </w:pPr>
            <w:r w:rsidRPr="0038140B">
              <w:rPr>
                <w:color w:val="000000"/>
                <w:sz w:val="22"/>
                <w:szCs w:val="22"/>
                <w:u w:val="single"/>
              </w:rPr>
              <w:t>Part VIII: Economic Development and Institutional Change</w:t>
            </w:r>
          </w:p>
        </w:tc>
      </w:tr>
      <w:tr w:rsidR="0038140B" w:rsidRPr="0038140B" w14:paraId="2716E9C0" w14:textId="77777777" w:rsidTr="00ED4255">
        <w:trPr>
          <w:trHeight w:val="288"/>
        </w:trPr>
        <w:tc>
          <w:tcPr>
            <w:tcW w:w="736" w:type="dxa"/>
            <w:tcBorders>
              <w:top w:val="nil"/>
              <w:left w:val="nil"/>
              <w:bottom w:val="nil"/>
              <w:right w:val="nil"/>
            </w:tcBorders>
            <w:shd w:val="clear" w:color="auto" w:fill="auto"/>
            <w:hideMark/>
          </w:tcPr>
          <w:p w14:paraId="7CA0FBC7" w14:textId="77777777" w:rsidR="0038140B" w:rsidRPr="0038140B" w:rsidRDefault="0038140B" w:rsidP="0038140B">
            <w:pPr>
              <w:jc w:val="center"/>
              <w:rPr>
                <w:color w:val="000000"/>
                <w:sz w:val="22"/>
                <w:szCs w:val="22"/>
              </w:rPr>
            </w:pPr>
            <w:r w:rsidRPr="0038140B">
              <w:rPr>
                <w:color w:val="000000"/>
                <w:sz w:val="22"/>
                <w:szCs w:val="22"/>
              </w:rPr>
              <w:t>18</w:t>
            </w:r>
          </w:p>
        </w:tc>
        <w:tc>
          <w:tcPr>
            <w:tcW w:w="4700" w:type="dxa"/>
            <w:tcBorders>
              <w:top w:val="nil"/>
              <w:left w:val="nil"/>
              <w:bottom w:val="nil"/>
              <w:right w:val="nil"/>
            </w:tcBorders>
            <w:shd w:val="clear" w:color="auto" w:fill="auto"/>
            <w:noWrap/>
            <w:hideMark/>
          </w:tcPr>
          <w:p w14:paraId="46E7F6EE" w14:textId="77777777" w:rsidR="0038140B" w:rsidRPr="0038140B" w:rsidRDefault="0038140B" w:rsidP="0038140B">
            <w:pPr>
              <w:rPr>
                <w:color w:val="000000"/>
                <w:sz w:val="22"/>
                <w:szCs w:val="22"/>
              </w:rPr>
            </w:pPr>
            <w:r w:rsidRPr="0038140B">
              <w:rPr>
                <w:color w:val="000000"/>
                <w:sz w:val="22"/>
                <w:szCs w:val="22"/>
              </w:rPr>
              <w:t>Institutions and Economic Development</w:t>
            </w:r>
          </w:p>
        </w:tc>
        <w:tc>
          <w:tcPr>
            <w:tcW w:w="4200" w:type="dxa"/>
            <w:tcBorders>
              <w:top w:val="nil"/>
              <w:left w:val="nil"/>
              <w:bottom w:val="nil"/>
              <w:right w:val="nil"/>
            </w:tcBorders>
            <w:shd w:val="clear" w:color="auto" w:fill="auto"/>
            <w:noWrap/>
            <w:hideMark/>
          </w:tcPr>
          <w:p w14:paraId="4BF8E931" w14:textId="77777777" w:rsidR="0038140B" w:rsidRPr="0038140B" w:rsidRDefault="0038140B" w:rsidP="0038140B">
            <w:pPr>
              <w:rPr>
                <w:color w:val="000000"/>
                <w:sz w:val="22"/>
                <w:szCs w:val="22"/>
              </w:rPr>
            </w:pPr>
            <w:r w:rsidRPr="0038140B">
              <w:rPr>
                <w:color w:val="000000"/>
                <w:sz w:val="22"/>
                <w:szCs w:val="22"/>
              </w:rPr>
              <w:t>historical data analysis</w:t>
            </w:r>
          </w:p>
        </w:tc>
      </w:tr>
    </w:tbl>
    <w:p w14:paraId="76F1CF4E" w14:textId="77777777" w:rsidR="00115A7A" w:rsidRPr="009F0A55" w:rsidRDefault="00115A7A" w:rsidP="00115A7A">
      <w:pPr>
        <w:rPr>
          <w:sz w:val="22"/>
          <w:szCs w:val="22"/>
        </w:rPr>
      </w:pPr>
    </w:p>
    <w:bookmarkEnd w:id="1"/>
    <w:p w14:paraId="30BCEE93" w14:textId="77777777" w:rsidR="0098522D" w:rsidRPr="0033759D" w:rsidRDefault="0098522D" w:rsidP="00A1245A">
      <w:pPr>
        <w:jc w:val="center"/>
        <w:rPr>
          <w:b/>
          <w:sz w:val="22"/>
          <w:szCs w:val="22"/>
        </w:rPr>
      </w:pPr>
    </w:p>
    <w:p w14:paraId="5B193D77" w14:textId="77777777" w:rsidR="0098522D" w:rsidRPr="004C5018" w:rsidRDefault="0098522D" w:rsidP="00A1245A">
      <w:pPr>
        <w:jc w:val="center"/>
        <w:rPr>
          <w:b/>
          <w:sz w:val="22"/>
          <w:szCs w:val="22"/>
        </w:rPr>
      </w:pPr>
    </w:p>
    <w:p w14:paraId="7257E3AE" w14:textId="3064EAAA" w:rsidR="0098522D" w:rsidRPr="0036451E" w:rsidRDefault="0036451E" w:rsidP="0036451E">
      <w:pPr>
        <w:rPr>
          <w:sz w:val="22"/>
          <w:szCs w:val="22"/>
        </w:rPr>
      </w:pPr>
      <w:r w:rsidRPr="0036451E">
        <w:rPr>
          <w:sz w:val="22"/>
          <w:szCs w:val="22"/>
        </w:rPr>
        <w:t xml:space="preserve">*Note: </w:t>
      </w:r>
      <w:r>
        <w:rPr>
          <w:sz w:val="22"/>
          <w:szCs w:val="22"/>
        </w:rPr>
        <w:t xml:space="preserve">the </w:t>
      </w:r>
      <w:proofErr w:type="gramStart"/>
      <w:r>
        <w:rPr>
          <w:sz w:val="22"/>
          <w:szCs w:val="22"/>
        </w:rPr>
        <w:t>Spring</w:t>
      </w:r>
      <w:proofErr w:type="gramEnd"/>
      <w:r>
        <w:rPr>
          <w:sz w:val="22"/>
          <w:szCs w:val="22"/>
        </w:rPr>
        <w:t xml:space="preserve"> 2019 course at Harvard included 5 guest lectures by external speakers, which are not included in the list above.</w:t>
      </w:r>
    </w:p>
    <w:p w14:paraId="20BFF341" w14:textId="5C7CD410" w:rsidR="0033759D" w:rsidRDefault="0033759D">
      <w:pPr>
        <w:rPr>
          <w:b/>
          <w:sz w:val="22"/>
          <w:szCs w:val="22"/>
        </w:rPr>
      </w:pPr>
      <w:r>
        <w:rPr>
          <w:b/>
          <w:sz w:val="22"/>
          <w:szCs w:val="22"/>
        </w:rPr>
        <w:br w:type="page"/>
      </w:r>
    </w:p>
    <w:p w14:paraId="3BE04873" w14:textId="77777777" w:rsidR="00464203" w:rsidRPr="004C5018" w:rsidRDefault="00464203">
      <w:pPr>
        <w:rPr>
          <w:b/>
          <w:sz w:val="22"/>
          <w:szCs w:val="22"/>
        </w:rPr>
      </w:pPr>
    </w:p>
    <w:p w14:paraId="51BAA090" w14:textId="18F31530" w:rsidR="000E1A71" w:rsidRPr="004C5018" w:rsidRDefault="005E3279" w:rsidP="0042688D">
      <w:pPr>
        <w:contextualSpacing/>
        <w:jc w:val="center"/>
        <w:rPr>
          <w:b/>
          <w:sz w:val="22"/>
          <w:szCs w:val="22"/>
        </w:rPr>
      </w:pPr>
      <w:r w:rsidRPr="004C5018">
        <w:rPr>
          <w:b/>
          <w:sz w:val="22"/>
          <w:szCs w:val="22"/>
        </w:rPr>
        <w:t xml:space="preserve">Course </w:t>
      </w:r>
      <w:r w:rsidR="00E127D6" w:rsidRPr="004C5018">
        <w:rPr>
          <w:b/>
          <w:sz w:val="22"/>
          <w:szCs w:val="22"/>
        </w:rPr>
        <w:t>Readings</w:t>
      </w:r>
    </w:p>
    <w:p w14:paraId="7FAE93FE" w14:textId="70A83AB1" w:rsidR="000E1A71" w:rsidRPr="004C5018" w:rsidRDefault="000E1A71" w:rsidP="0042688D">
      <w:pPr>
        <w:contextualSpacing/>
        <w:rPr>
          <w:sz w:val="22"/>
          <w:szCs w:val="22"/>
        </w:rPr>
      </w:pPr>
    </w:p>
    <w:p w14:paraId="00E08FE4" w14:textId="2F485922" w:rsidR="00041B83" w:rsidRPr="004C5018" w:rsidRDefault="00041B83" w:rsidP="0042688D">
      <w:pPr>
        <w:contextualSpacing/>
        <w:jc w:val="both"/>
        <w:rPr>
          <w:sz w:val="22"/>
          <w:szCs w:val="22"/>
        </w:rPr>
      </w:pPr>
      <w:r w:rsidRPr="004C5018">
        <w:rPr>
          <w:sz w:val="22"/>
          <w:szCs w:val="22"/>
        </w:rPr>
        <w:t xml:space="preserve">Students are responsible for </w:t>
      </w:r>
      <w:r w:rsidR="00E127D6" w:rsidRPr="004C5018">
        <w:rPr>
          <w:sz w:val="22"/>
          <w:szCs w:val="22"/>
        </w:rPr>
        <w:t>reading a small number of required papers (</w:t>
      </w:r>
      <w:r w:rsidR="00B90E1E" w:rsidRPr="004C5018">
        <w:rPr>
          <w:sz w:val="22"/>
          <w:szCs w:val="22"/>
        </w:rPr>
        <w:t>in bold below</w:t>
      </w:r>
      <w:r w:rsidR="00E127D6" w:rsidRPr="004C5018">
        <w:rPr>
          <w:sz w:val="22"/>
          <w:szCs w:val="22"/>
        </w:rPr>
        <w:t xml:space="preserve">). </w:t>
      </w:r>
      <w:r w:rsidR="00A5010B" w:rsidRPr="004C5018">
        <w:rPr>
          <w:sz w:val="22"/>
          <w:szCs w:val="22"/>
        </w:rPr>
        <w:t>Please f</w:t>
      </w:r>
      <w:r w:rsidR="00E127D6" w:rsidRPr="004C5018">
        <w:rPr>
          <w:sz w:val="22"/>
          <w:szCs w:val="22"/>
        </w:rPr>
        <w:t>ocus on understanding the main ideas</w:t>
      </w:r>
      <w:r w:rsidR="00A5010B" w:rsidRPr="004C5018">
        <w:rPr>
          <w:sz w:val="22"/>
          <w:szCs w:val="22"/>
        </w:rPr>
        <w:t>,</w:t>
      </w:r>
      <w:r w:rsidR="00E127D6" w:rsidRPr="004C5018">
        <w:rPr>
          <w:sz w:val="22"/>
          <w:szCs w:val="22"/>
        </w:rPr>
        <w:t xml:space="preserve"> rather than technical details</w:t>
      </w:r>
      <w:r w:rsidR="00A5010B" w:rsidRPr="004C5018">
        <w:rPr>
          <w:sz w:val="22"/>
          <w:szCs w:val="22"/>
        </w:rPr>
        <w:t>.  We</w:t>
      </w:r>
      <w:r w:rsidR="00E127D6" w:rsidRPr="004C5018">
        <w:rPr>
          <w:sz w:val="22"/>
          <w:szCs w:val="22"/>
        </w:rPr>
        <w:t xml:space="preserve"> recommend starting with non-technical summaries and introductions for this purpose. The other papers will be discussed </w:t>
      </w:r>
      <w:r w:rsidR="006B2B07" w:rsidRPr="004C5018">
        <w:rPr>
          <w:sz w:val="22"/>
          <w:szCs w:val="22"/>
        </w:rPr>
        <w:t xml:space="preserve">in lecture, </w:t>
      </w:r>
      <w:r w:rsidR="00A5010B" w:rsidRPr="004C5018">
        <w:rPr>
          <w:sz w:val="22"/>
          <w:szCs w:val="22"/>
        </w:rPr>
        <w:t xml:space="preserve">in </w:t>
      </w:r>
      <w:r w:rsidR="006B2B07" w:rsidRPr="004C5018">
        <w:rPr>
          <w:sz w:val="22"/>
          <w:szCs w:val="22"/>
        </w:rPr>
        <w:t>section, or</w:t>
      </w:r>
      <w:r w:rsidR="00A5010B" w:rsidRPr="004C5018">
        <w:rPr>
          <w:sz w:val="22"/>
          <w:szCs w:val="22"/>
        </w:rPr>
        <w:t xml:space="preserve"> </w:t>
      </w:r>
      <w:r w:rsidR="00297F51" w:rsidRPr="004C5018">
        <w:rPr>
          <w:sz w:val="22"/>
          <w:szCs w:val="22"/>
        </w:rPr>
        <w:t>in</w:t>
      </w:r>
      <w:r w:rsidR="006B2B07" w:rsidRPr="004C5018">
        <w:rPr>
          <w:sz w:val="22"/>
          <w:szCs w:val="22"/>
        </w:rPr>
        <w:t xml:space="preserve"> the </w:t>
      </w:r>
      <w:r w:rsidR="00E127D6" w:rsidRPr="004C5018">
        <w:rPr>
          <w:sz w:val="22"/>
          <w:szCs w:val="22"/>
        </w:rPr>
        <w:t>empirical projects, and may be useful references in those contexts</w:t>
      </w:r>
      <w:r w:rsidR="006B2B07" w:rsidRPr="004C5018">
        <w:rPr>
          <w:sz w:val="22"/>
          <w:szCs w:val="22"/>
        </w:rPr>
        <w:t xml:space="preserve">.  </w:t>
      </w:r>
    </w:p>
    <w:p w14:paraId="5ED01AFD" w14:textId="77777777" w:rsidR="00041B83" w:rsidRPr="004C5018" w:rsidRDefault="00041B83" w:rsidP="0042688D">
      <w:pPr>
        <w:contextualSpacing/>
        <w:rPr>
          <w:sz w:val="22"/>
          <w:szCs w:val="22"/>
        </w:rPr>
      </w:pPr>
    </w:p>
    <w:p w14:paraId="677075C0" w14:textId="77777777" w:rsidR="000E1A71" w:rsidRPr="004C5018" w:rsidRDefault="000E1A71" w:rsidP="0042688D">
      <w:pPr>
        <w:contextualSpacing/>
        <w:mirrorIndents/>
        <w:jc w:val="center"/>
        <w:rPr>
          <w:sz w:val="22"/>
          <w:szCs w:val="22"/>
        </w:rPr>
      </w:pPr>
      <w:r w:rsidRPr="004C5018">
        <w:rPr>
          <w:sz w:val="22"/>
          <w:szCs w:val="22"/>
          <w:u w:val="single"/>
        </w:rPr>
        <w:t>Part I: Equality of Opportunity</w:t>
      </w:r>
    </w:p>
    <w:p w14:paraId="606237F7" w14:textId="77777777" w:rsidR="000E1A71" w:rsidRPr="004C5018" w:rsidRDefault="000E1A71" w:rsidP="0042688D">
      <w:pPr>
        <w:contextualSpacing/>
        <w:mirrorIndents/>
        <w:rPr>
          <w:sz w:val="22"/>
          <w:szCs w:val="22"/>
        </w:rPr>
      </w:pPr>
    </w:p>
    <w:p w14:paraId="2E295DA6" w14:textId="319361DB" w:rsidR="000012C9" w:rsidRPr="004C5018" w:rsidRDefault="000012C9" w:rsidP="0042688D">
      <w:pPr>
        <w:ind w:left="480" w:hanging="480"/>
        <w:contextualSpacing/>
        <w:mirrorIndents/>
        <w:rPr>
          <w:i/>
          <w:sz w:val="22"/>
          <w:szCs w:val="22"/>
        </w:rPr>
      </w:pPr>
      <w:r w:rsidRPr="004C5018">
        <w:rPr>
          <w:i/>
          <w:sz w:val="22"/>
          <w:szCs w:val="22"/>
        </w:rPr>
        <w:t>Geography of Economic Mobility</w:t>
      </w:r>
    </w:p>
    <w:p w14:paraId="7E1DEA0B" w14:textId="77777777" w:rsidR="000012C9" w:rsidRPr="004C5018" w:rsidRDefault="000012C9" w:rsidP="0042688D">
      <w:pPr>
        <w:ind w:left="480" w:hanging="480"/>
        <w:contextualSpacing/>
        <w:mirrorIndents/>
        <w:rPr>
          <w:sz w:val="22"/>
          <w:szCs w:val="22"/>
        </w:rPr>
      </w:pPr>
    </w:p>
    <w:p w14:paraId="1E69AC52" w14:textId="291712FE" w:rsidR="000E1A71" w:rsidRPr="004C5018" w:rsidRDefault="000E1A71" w:rsidP="0042688D">
      <w:pPr>
        <w:ind w:left="480" w:hanging="480"/>
        <w:contextualSpacing/>
        <w:mirrorIndents/>
        <w:rPr>
          <w:b/>
          <w:sz w:val="22"/>
          <w:szCs w:val="22"/>
        </w:rPr>
      </w:pPr>
      <w:r w:rsidRPr="004C5018">
        <w:rPr>
          <w:b/>
          <w:sz w:val="22"/>
          <w:szCs w:val="22"/>
        </w:rPr>
        <w:t xml:space="preserve">Chetty, Raj, John Friedman, Nathaniel Hendren, Maggie R. Jones, and Sonya R. Porter. 2018. “The Opportunity Atlas: Mapping the Childhood Roots of Social Mobility.” NBER Working Paper No. 25147.  </w:t>
      </w:r>
      <w:hyperlink r:id="rId16" w:history="1">
        <w:r w:rsidRPr="004C5018">
          <w:rPr>
            <w:rStyle w:val="Hyperlink"/>
            <w:b/>
            <w:sz w:val="22"/>
            <w:szCs w:val="22"/>
          </w:rPr>
          <w:t>Non-technical summary.</w:t>
        </w:r>
      </w:hyperlink>
    </w:p>
    <w:p w14:paraId="45F7E169" w14:textId="77777777" w:rsidR="0042688D" w:rsidRPr="004C5018" w:rsidRDefault="0042688D" w:rsidP="0042688D">
      <w:pPr>
        <w:ind w:left="480" w:hanging="480"/>
        <w:contextualSpacing/>
        <w:mirrorIndents/>
        <w:rPr>
          <w:sz w:val="22"/>
          <w:szCs w:val="22"/>
        </w:rPr>
      </w:pPr>
    </w:p>
    <w:p w14:paraId="6C039F8D" w14:textId="6BA8CE1B" w:rsidR="00AE178D" w:rsidRPr="004C5018" w:rsidRDefault="000E1A71" w:rsidP="0042688D">
      <w:pPr>
        <w:ind w:left="480" w:hanging="480"/>
        <w:contextualSpacing/>
        <w:mirrorIndents/>
        <w:rPr>
          <w:sz w:val="22"/>
          <w:szCs w:val="22"/>
        </w:rPr>
      </w:pPr>
      <w:r w:rsidRPr="004C5018">
        <w:rPr>
          <w:sz w:val="22"/>
          <w:szCs w:val="22"/>
        </w:rPr>
        <w:t xml:space="preserve">Chetty, Raj, Nathaniel Hendren, Patrick Kline, and Emmanuel </w:t>
      </w:r>
      <w:proofErr w:type="spellStart"/>
      <w:r w:rsidRPr="004C5018">
        <w:rPr>
          <w:sz w:val="22"/>
          <w:szCs w:val="22"/>
        </w:rPr>
        <w:t>Saez</w:t>
      </w:r>
      <w:proofErr w:type="spellEnd"/>
      <w:r w:rsidRPr="004C5018">
        <w:rPr>
          <w:sz w:val="22"/>
          <w:szCs w:val="22"/>
        </w:rPr>
        <w:t xml:space="preserve">. 2014. “Where Is the Land of Opportunity? The Geography of Intergenerational Mobility in the United States.” </w:t>
      </w:r>
      <w:r w:rsidRPr="004C5018">
        <w:rPr>
          <w:i/>
          <w:iCs/>
          <w:sz w:val="22"/>
          <w:szCs w:val="22"/>
        </w:rPr>
        <w:t>Quarterly Journal of Economics</w:t>
      </w:r>
      <w:r w:rsidRPr="004C5018">
        <w:rPr>
          <w:sz w:val="22"/>
          <w:szCs w:val="22"/>
        </w:rPr>
        <w:t xml:space="preserve"> 29 (4): 1553–1623. </w:t>
      </w:r>
      <w:hyperlink r:id="rId17" w:history="1">
        <w:r w:rsidRPr="004C5018">
          <w:rPr>
            <w:rStyle w:val="Hyperlink"/>
            <w:sz w:val="22"/>
            <w:szCs w:val="22"/>
          </w:rPr>
          <w:t>Non-technical summary</w:t>
        </w:r>
      </w:hyperlink>
      <w:r w:rsidRPr="004C5018">
        <w:rPr>
          <w:rStyle w:val="Hyperlink"/>
          <w:sz w:val="22"/>
          <w:szCs w:val="22"/>
        </w:rPr>
        <w:t>.</w:t>
      </w:r>
    </w:p>
    <w:p w14:paraId="045DC8FB" w14:textId="77777777" w:rsidR="0042688D" w:rsidRPr="004C5018" w:rsidRDefault="0042688D" w:rsidP="0042688D">
      <w:pPr>
        <w:ind w:left="480" w:hanging="480"/>
        <w:contextualSpacing/>
        <w:mirrorIndents/>
        <w:rPr>
          <w:sz w:val="22"/>
          <w:szCs w:val="22"/>
        </w:rPr>
      </w:pPr>
    </w:p>
    <w:p w14:paraId="7823C10F" w14:textId="518F5FDF" w:rsidR="00AE178D" w:rsidRPr="004C5018" w:rsidRDefault="00AE178D" w:rsidP="0042688D">
      <w:pPr>
        <w:ind w:left="480" w:hanging="480"/>
        <w:contextualSpacing/>
        <w:mirrorIndents/>
        <w:rPr>
          <w:sz w:val="22"/>
          <w:szCs w:val="22"/>
        </w:rPr>
      </w:pPr>
      <w:r w:rsidRPr="004C5018">
        <w:rPr>
          <w:sz w:val="22"/>
          <w:szCs w:val="22"/>
        </w:rPr>
        <w:t xml:space="preserve">Chetty, Raj, Nathaniel Hendren, and Lawrence F. Katz. 2016. “The Effects of Exposure to Better Neighborhoods on Children: New Evidence from the Moving to Opportunity Experiment.” </w:t>
      </w:r>
      <w:r w:rsidRPr="004C5018">
        <w:rPr>
          <w:i/>
          <w:iCs/>
          <w:sz w:val="22"/>
          <w:szCs w:val="22"/>
        </w:rPr>
        <w:t>American Economic Review</w:t>
      </w:r>
      <w:r w:rsidRPr="004C5018">
        <w:rPr>
          <w:sz w:val="22"/>
          <w:szCs w:val="22"/>
        </w:rPr>
        <w:t xml:space="preserve"> 106 (4): 855–902. </w:t>
      </w:r>
      <w:hyperlink r:id="rId18" w:history="1">
        <w:r w:rsidRPr="004C5018">
          <w:rPr>
            <w:rStyle w:val="Hyperlink"/>
            <w:sz w:val="22"/>
            <w:szCs w:val="22"/>
          </w:rPr>
          <w:t>Non-technical summary</w:t>
        </w:r>
      </w:hyperlink>
    </w:p>
    <w:p w14:paraId="53C89D66" w14:textId="77777777" w:rsidR="0042688D" w:rsidRPr="004C5018" w:rsidRDefault="0042688D" w:rsidP="0042688D">
      <w:pPr>
        <w:ind w:left="480" w:hanging="480"/>
        <w:contextualSpacing/>
        <w:mirrorIndents/>
        <w:rPr>
          <w:sz w:val="22"/>
          <w:szCs w:val="22"/>
        </w:rPr>
      </w:pPr>
    </w:p>
    <w:p w14:paraId="7FA632CC" w14:textId="1CF3E5EE" w:rsidR="000E1A71" w:rsidRPr="004C5018" w:rsidRDefault="000E1A71" w:rsidP="0042688D">
      <w:pPr>
        <w:ind w:left="480" w:hanging="480"/>
        <w:contextualSpacing/>
        <w:mirrorIndents/>
        <w:rPr>
          <w:sz w:val="22"/>
          <w:szCs w:val="22"/>
        </w:rPr>
      </w:pPr>
      <w:r w:rsidRPr="004C5018">
        <w:rPr>
          <w:sz w:val="22"/>
          <w:szCs w:val="22"/>
        </w:rPr>
        <w:t xml:space="preserve">Chetty, Raj, and Nathaniel Hendren. 2018. “The Impacts of Neighborhoods on Intergenerational Mobility I: Childhood Exposure Effects.” </w:t>
      </w:r>
      <w:r w:rsidRPr="004C5018">
        <w:rPr>
          <w:i/>
          <w:sz w:val="22"/>
          <w:szCs w:val="22"/>
        </w:rPr>
        <w:t>Quarterly Journal of Economics</w:t>
      </w:r>
      <w:r w:rsidRPr="004C5018">
        <w:rPr>
          <w:sz w:val="22"/>
          <w:szCs w:val="22"/>
        </w:rPr>
        <w:t xml:space="preserve"> 133(3): 1107-1162.</w:t>
      </w:r>
      <w:r w:rsidRPr="004C5018">
        <w:rPr>
          <w:rStyle w:val="Hyperlink"/>
          <w:color w:val="auto"/>
          <w:sz w:val="22"/>
          <w:szCs w:val="22"/>
          <w:u w:val="none"/>
        </w:rPr>
        <w:t xml:space="preserve"> </w:t>
      </w:r>
      <w:hyperlink r:id="rId19" w:history="1">
        <w:r w:rsidRPr="004C5018">
          <w:rPr>
            <w:rStyle w:val="Hyperlink"/>
            <w:sz w:val="22"/>
            <w:szCs w:val="22"/>
          </w:rPr>
          <w:t>Non-technical summary.</w:t>
        </w:r>
      </w:hyperlink>
    </w:p>
    <w:p w14:paraId="463ADDD0" w14:textId="77777777" w:rsidR="00192347" w:rsidRPr="004C5018" w:rsidRDefault="00192347" w:rsidP="0042688D">
      <w:pPr>
        <w:ind w:left="480" w:hanging="480"/>
        <w:contextualSpacing/>
        <w:mirrorIndents/>
        <w:rPr>
          <w:i/>
          <w:sz w:val="22"/>
          <w:szCs w:val="22"/>
        </w:rPr>
      </w:pPr>
    </w:p>
    <w:p w14:paraId="7C7C386E" w14:textId="2ECE951A" w:rsidR="000012C9" w:rsidRPr="004C5018" w:rsidRDefault="000012C9" w:rsidP="0042688D">
      <w:pPr>
        <w:ind w:left="480" w:hanging="480"/>
        <w:contextualSpacing/>
        <w:mirrorIndents/>
        <w:rPr>
          <w:i/>
          <w:sz w:val="22"/>
          <w:szCs w:val="22"/>
        </w:rPr>
      </w:pPr>
      <w:r w:rsidRPr="004C5018">
        <w:rPr>
          <w:i/>
          <w:sz w:val="22"/>
          <w:szCs w:val="22"/>
        </w:rPr>
        <w:t>Historical Trends</w:t>
      </w:r>
    </w:p>
    <w:p w14:paraId="7C1419D8" w14:textId="77777777" w:rsidR="000012C9" w:rsidRPr="004C5018" w:rsidRDefault="000012C9" w:rsidP="0042688D">
      <w:pPr>
        <w:contextualSpacing/>
        <w:mirrorIndents/>
        <w:rPr>
          <w:sz w:val="22"/>
          <w:szCs w:val="22"/>
        </w:rPr>
      </w:pPr>
    </w:p>
    <w:p w14:paraId="25F7BC50" w14:textId="4EA87D1D" w:rsidR="000E1A71" w:rsidRPr="004C5018" w:rsidRDefault="000E1A71" w:rsidP="0042688D">
      <w:pPr>
        <w:ind w:left="540" w:hanging="540"/>
        <w:contextualSpacing/>
        <w:mirrorIndents/>
        <w:rPr>
          <w:sz w:val="22"/>
          <w:szCs w:val="22"/>
        </w:rPr>
      </w:pPr>
      <w:r w:rsidRPr="004C5018">
        <w:rPr>
          <w:sz w:val="22"/>
          <w:szCs w:val="22"/>
        </w:rPr>
        <w:t>Autor, David H. 2014. “Skills, education, and the rise of earnings inequality among the ‘other 99 percent.</w:t>
      </w:r>
      <w:r w:rsidR="00D8586A" w:rsidRPr="004C5018">
        <w:rPr>
          <w:sz w:val="22"/>
          <w:szCs w:val="22"/>
        </w:rPr>
        <w:t>’</w:t>
      </w:r>
      <w:r w:rsidRPr="004C5018">
        <w:rPr>
          <w:sz w:val="22"/>
          <w:szCs w:val="22"/>
        </w:rPr>
        <w:t xml:space="preserve">” </w:t>
      </w:r>
      <w:r w:rsidRPr="004C5018">
        <w:rPr>
          <w:i/>
          <w:sz w:val="22"/>
          <w:szCs w:val="22"/>
        </w:rPr>
        <w:t xml:space="preserve">Science </w:t>
      </w:r>
      <w:r w:rsidRPr="004C5018">
        <w:rPr>
          <w:sz w:val="22"/>
          <w:szCs w:val="22"/>
        </w:rPr>
        <w:t>344(6186): 843-85.</w:t>
      </w:r>
    </w:p>
    <w:p w14:paraId="090CCE2D" w14:textId="77777777" w:rsidR="00AE178D" w:rsidRPr="004C5018" w:rsidRDefault="00AE178D" w:rsidP="0042688D">
      <w:pPr>
        <w:ind w:left="720" w:hanging="720"/>
        <w:contextualSpacing/>
        <w:mirrorIndents/>
        <w:rPr>
          <w:sz w:val="22"/>
          <w:szCs w:val="22"/>
        </w:rPr>
      </w:pPr>
    </w:p>
    <w:p w14:paraId="30D49322" w14:textId="7717DF22" w:rsidR="00AE178D" w:rsidRPr="004C5018" w:rsidRDefault="00AE178D" w:rsidP="0042688D">
      <w:pPr>
        <w:ind w:left="720" w:hanging="720"/>
        <w:contextualSpacing/>
        <w:mirrorIndents/>
        <w:rPr>
          <w:sz w:val="22"/>
          <w:szCs w:val="22"/>
        </w:rPr>
      </w:pPr>
      <w:r w:rsidRPr="004C5018">
        <w:rPr>
          <w:sz w:val="22"/>
          <w:szCs w:val="22"/>
        </w:rPr>
        <w:t>Berman, Yonatan. 2019. “The Long Run Evolution of Absolute Intergenerational Mobility.” Working paper.</w:t>
      </w:r>
    </w:p>
    <w:p w14:paraId="23DBF522" w14:textId="77777777" w:rsidR="0045738A" w:rsidRPr="004C5018" w:rsidRDefault="0045738A" w:rsidP="0045738A">
      <w:pPr>
        <w:contextualSpacing/>
        <w:mirrorIndents/>
        <w:rPr>
          <w:sz w:val="22"/>
          <w:szCs w:val="22"/>
        </w:rPr>
      </w:pPr>
    </w:p>
    <w:p w14:paraId="4857EED8" w14:textId="77777777" w:rsidR="0045738A" w:rsidRPr="004C5018" w:rsidRDefault="0045738A" w:rsidP="0045738A">
      <w:pPr>
        <w:ind w:left="480" w:hanging="480"/>
        <w:contextualSpacing/>
        <w:mirrorIndents/>
        <w:rPr>
          <w:b/>
          <w:sz w:val="22"/>
          <w:szCs w:val="22"/>
        </w:rPr>
      </w:pPr>
      <w:proofErr w:type="spellStart"/>
      <w:r w:rsidRPr="004C5018">
        <w:rPr>
          <w:b/>
          <w:sz w:val="22"/>
          <w:szCs w:val="22"/>
        </w:rPr>
        <w:t>Chetty</w:t>
      </w:r>
      <w:proofErr w:type="spellEnd"/>
      <w:r w:rsidRPr="004C5018">
        <w:rPr>
          <w:b/>
          <w:sz w:val="22"/>
          <w:szCs w:val="22"/>
        </w:rPr>
        <w:t xml:space="preserve">, Raj, David </w:t>
      </w:r>
      <w:proofErr w:type="spellStart"/>
      <w:r w:rsidRPr="004C5018">
        <w:rPr>
          <w:b/>
          <w:sz w:val="22"/>
          <w:szCs w:val="22"/>
        </w:rPr>
        <w:t>Grusky</w:t>
      </w:r>
      <w:proofErr w:type="spellEnd"/>
      <w:r w:rsidRPr="004C5018">
        <w:rPr>
          <w:b/>
          <w:sz w:val="22"/>
          <w:szCs w:val="22"/>
        </w:rPr>
        <w:t xml:space="preserve">, Maximilian Hell, Nathaniel Hendren, Robert Manduca, and Jimmy Narang. 2017. “The Fading American Dream: Trends in Absolute Income Mobility Since 1940.” </w:t>
      </w:r>
      <w:r w:rsidRPr="004C5018">
        <w:rPr>
          <w:b/>
          <w:i/>
          <w:sz w:val="22"/>
          <w:szCs w:val="22"/>
        </w:rPr>
        <w:t xml:space="preserve">Science </w:t>
      </w:r>
      <w:r w:rsidRPr="004C5018">
        <w:rPr>
          <w:b/>
          <w:sz w:val="22"/>
          <w:szCs w:val="22"/>
        </w:rPr>
        <w:t xml:space="preserve">356 (6336): 398-406. </w:t>
      </w:r>
      <w:hyperlink r:id="rId20" w:history="1">
        <w:r w:rsidRPr="004C5018">
          <w:rPr>
            <w:rStyle w:val="Hyperlink"/>
            <w:b/>
            <w:sz w:val="22"/>
            <w:szCs w:val="22"/>
          </w:rPr>
          <w:t>Non-technical summary</w:t>
        </w:r>
      </w:hyperlink>
    </w:p>
    <w:p w14:paraId="69D81E79" w14:textId="77777777" w:rsidR="00AE178D" w:rsidRPr="004C5018" w:rsidRDefault="00AE178D" w:rsidP="0045738A">
      <w:pPr>
        <w:contextualSpacing/>
        <w:mirrorIndents/>
        <w:rPr>
          <w:sz w:val="22"/>
          <w:szCs w:val="22"/>
        </w:rPr>
      </w:pPr>
    </w:p>
    <w:p w14:paraId="3A29F7E5" w14:textId="77777777" w:rsidR="00AE178D" w:rsidRPr="004C5018" w:rsidRDefault="00AE178D" w:rsidP="0042688D">
      <w:pPr>
        <w:ind w:left="720" w:hanging="720"/>
        <w:contextualSpacing/>
        <w:mirrorIndents/>
        <w:rPr>
          <w:sz w:val="22"/>
          <w:szCs w:val="22"/>
        </w:rPr>
      </w:pPr>
      <w:r w:rsidRPr="004C5018">
        <w:rPr>
          <w:sz w:val="22"/>
          <w:szCs w:val="22"/>
        </w:rPr>
        <w:t xml:space="preserve">Goldin, Claudia and Lawrence Katz. 2010. </w:t>
      </w:r>
      <w:r w:rsidRPr="004C5018">
        <w:rPr>
          <w:i/>
          <w:sz w:val="22"/>
          <w:szCs w:val="22"/>
        </w:rPr>
        <w:t>The Race Between Education and Technology</w:t>
      </w:r>
      <w:r w:rsidRPr="004C5018">
        <w:rPr>
          <w:sz w:val="22"/>
          <w:szCs w:val="22"/>
        </w:rPr>
        <w:t xml:space="preserve"> Belknap Press of Harvard University Press, Cambridge, Mass.</w:t>
      </w:r>
    </w:p>
    <w:p w14:paraId="73FC17DE" w14:textId="77777777" w:rsidR="0045738A" w:rsidRPr="004C5018" w:rsidRDefault="0045738A" w:rsidP="0042688D">
      <w:pPr>
        <w:ind w:left="540" w:hanging="540"/>
        <w:contextualSpacing/>
        <w:mirrorIndents/>
        <w:rPr>
          <w:sz w:val="22"/>
          <w:szCs w:val="22"/>
        </w:rPr>
      </w:pPr>
    </w:p>
    <w:p w14:paraId="3C42E689" w14:textId="7C08ADAF" w:rsidR="00AE178D" w:rsidRPr="004C5018" w:rsidRDefault="00AE178D" w:rsidP="0042688D">
      <w:pPr>
        <w:ind w:left="540" w:hanging="540"/>
        <w:contextualSpacing/>
        <w:mirrorIndents/>
        <w:rPr>
          <w:sz w:val="22"/>
          <w:szCs w:val="22"/>
        </w:rPr>
      </w:pPr>
      <w:r w:rsidRPr="004C5018">
        <w:rPr>
          <w:sz w:val="22"/>
          <w:szCs w:val="22"/>
        </w:rPr>
        <w:t xml:space="preserve">Piketty, Thomas and Emmanuel </w:t>
      </w:r>
      <w:proofErr w:type="spellStart"/>
      <w:r w:rsidRPr="004C5018">
        <w:rPr>
          <w:sz w:val="22"/>
          <w:szCs w:val="22"/>
        </w:rPr>
        <w:t>Saez</w:t>
      </w:r>
      <w:proofErr w:type="spellEnd"/>
      <w:r w:rsidRPr="004C5018">
        <w:rPr>
          <w:sz w:val="22"/>
          <w:szCs w:val="22"/>
        </w:rPr>
        <w:t xml:space="preserve">. 2003. “Income Inequality in the United States, 1913-1998.” </w:t>
      </w:r>
      <w:r w:rsidRPr="004C5018">
        <w:rPr>
          <w:i/>
          <w:sz w:val="22"/>
          <w:szCs w:val="22"/>
        </w:rPr>
        <w:t>Quarterly Journal of Economics</w:t>
      </w:r>
      <w:r w:rsidRPr="004C5018">
        <w:rPr>
          <w:sz w:val="22"/>
          <w:szCs w:val="22"/>
        </w:rPr>
        <w:t xml:space="preserve"> 118(1): 1-39.</w:t>
      </w:r>
    </w:p>
    <w:p w14:paraId="46973EBD" w14:textId="77777777" w:rsidR="00AE178D" w:rsidRPr="004C5018" w:rsidRDefault="00AE178D" w:rsidP="0042688D">
      <w:pPr>
        <w:contextualSpacing/>
        <w:mirrorIndents/>
        <w:rPr>
          <w:sz w:val="22"/>
          <w:szCs w:val="22"/>
        </w:rPr>
      </w:pPr>
    </w:p>
    <w:p w14:paraId="07FBAEF8" w14:textId="34D35AA9" w:rsidR="000E1A71" w:rsidRPr="004C5018" w:rsidRDefault="000E1A71" w:rsidP="0042688D">
      <w:pPr>
        <w:ind w:left="720" w:hanging="720"/>
        <w:contextualSpacing/>
        <w:mirrorIndents/>
        <w:rPr>
          <w:sz w:val="22"/>
          <w:szCs w:val="22"/>
        </w:rPr>
      </w:pPr>
      <w:proofErr w:type="spellStart"/>
      <w:r w:rsidRPr="004C5018">
        <w:rPr>
          <w:sz w:val="22"/>
          <w:szCs w:val="22"/>
        </w:rPr>
        <w:t>Saez</w:t>
      </w:r>
      <w:proofErr w:type="spellEnd"/>
      <w:r w:rsidRPr="004C5018">
        <w:rPr>
          <w:sz w:val="22"/>
          <w:szCs w:val="22"/>
        </w:rPr>
        <w:t xml:space="preserve">, Emmanuel and Gabriel Zucman. 2016. “Wealth Inequality in the United States since 1913: Evidence from Capitalized Income Tax Data.” </w:t>
      </w:r>
      <w:r w:rsidRPr="004C5018">
        <w:rPr>
          <w:i/>
          <w:sz w:val="22"/>
          <w:szCs w:val="22"/>
        </w:rPr>
        <w:t>Quarterly Journal of Economics</w:t>
      </w:r>
      <w:r w:rsidRPr="004C5018">
        <w:rPr>
          <w:sz w:val="22"/>
          <w:szCs w:val="22"/>
        </w:rPr>
        <w:t xml:space="preserve"> 131(2): 519-578.</w:t>
      </w:r>
    </w:p>
    <w:p w14:paraId="6AD267CE" w14:textId="6C34D2AB" w:rsidR="001D1542" w:rsidRDefault="001D1542" w:rsidP="0042688D">
      <w:pPr>
        <w:contextualSpacing/>
        <w:mirrorIndents/>
        <w:rPr>
          <w:sz w:val="22"/>
          <w:szCs w:val="22"/>
        </w:rPr>
      </w:pPr>
    </w:p>
    <w:p w14:paraId="4182DD70" w14:textId="5475DA24" w:rsidR="00797775" w:rsidRDefault="00797775" w:rsidP="0042688D">
      <w:pPr>
        <w:contextualSpacing/>
        <w:mirrorIndents/>
        <w:rPr>
          <w:sz w:val="22"/>
          <w:szCs w:val="22"/>
        </w:rPr>
      </w:pPr>
    </w:p>
    <w:p w14:paraId="483E89B8" w14:textId="22362E3D" w:rsidR="00797775" w:rsidRDefault="00797775" w:rsidP="0042688D">
      <w:pPr>
        <w:contextualSpacing/>
        <w:mirrorIndents/>
        <w:rPr>
          <w:sz w:val="22"/>
          <w:szCs w:val="22"/>
        </w:rPr>
      </w:pPr>
    </w:p>
    <w:p w14:paraId="13989E33" w14:textId="77777777" w:rsidR="00797775" w:rsidRPr="004C5018" w:rsidRDefault="00797775" w:rsidP="0042688D">
      <w:pPr>
        <w:contextualSpacing/>
        <w:mirrorIndents/>
        <w:rPr>
          <w:sz w:val="22"/>
          <w:szCs w:val="22"/>
        </w:rPr>
      </w:pPr>
    </w:p>
    <w:p w14:paraId="3A852BA0" w14:textId="743731C9" w:rsidR="000012C9" w:rsidRPr="004C5018" w:rsidRDefault="000012C9" w:rsidP="0042688D">
      <w:pPr>
        <w:contextualSpacing/>
        <w:mirrorIndents/>
        <w:rPr>
          <w:i/>
          <w:sz w:val="22"/>
          <w:szCs w:val="22"/>
        </w:rPr>
      </w:pPr>
      <w:r w:rsidRPr="004C5018">
        <w:rPr>
          <w:i/>
          <w:sz w:val="22"/>
          <w:szCs w:val="22"/>
        </w:rPr>
        <w:t>Innovation, Mobility, and Growth</w:t>
      </w:r>
    </w:p>
    <w:p w14:paraId="047DEDCD" w14:textId="77777777" w:rsidR="000012C9" w:rsidRPr="004C5018" w:rsidRDefault="000012C9" w:rsidP="0042688D">
      <w:pPr>
        <w:contextualSpacing/>
        <w:mirrorIndents/>
        <w:rPr>
          <w:i/>
          <w:sz w:val="22"/>
          <w:szCs w:val="22"/>
        </w:rPr>
      </w:pPr>
    </w:p>
    <w:p w14:paraId="4A532BDF" w14:textId="1EBD8A01" w:rsidR="000E1A71" w:rsidRPr="004C5018" w:rsidRDefault="000E1A71" w:rsidP="0042688D">
      <w:pPr>
        <w:ind w:left="720" w:hanging="720"/>
        <w:contextualSpacing/>
        <w:mirrorIndents/>
        <w:rPr>
          <w:sz w:val="22"/>
          <w:szCs w:val="22"/>
        </w:rPr>
      </w:pPr>
      <w:r w:rsidRPr="004C5018">
        <w:rPr>
          <w:sz w:val="22"/>
          <w:szCs w:val="22"/>
        </w:rPr>
        <w:t xml:space="preserve">Bell, Alex, Raj </w:t>
      </w:r>
      <w:proofErr w:type="spellStart"/>
      <w:r w:rsidRPr="004C5018">
        <w:rPr>
          <w:sz w:val="22"/>
          <w:szCs w:val="22"/>
        </w:rPr>
        <w:t>Chetty</w:t>
      </w:r>
      <w:proofErr w:type="spellEnd"/>
      <w:r w:rsidRPr="004C5018">
        <w:rPr>
          <w:sz w:val="22"/>
          <w:szCs w:val="22"/>
        </w:rPr>
        <w:t xml:space="preserve">, Xavier </w:t>
      </w:r>
      <w:proofErr w:type="spellStart"/>
      <w:r w:rsidRPr="004C5018">
        <w:rPr>
          <w:sz w:val="22"/>
          <w:szCs w:val="22"/>
        </w:rPr>
        <w:t>Jaravel</w:t>
      </w:r>
      <w:proofErr w:type="spellEnd"/>
      <w:r w:rsidRPr="004C5018">
        <w:rPr>
          <w:sz w:val="22"/>
          <w:szCs w:val="22"/>
        </w:rPr>
        <w:t xml:space="preserve">, </w:t>
      </w:r>
      <w:proofErr w:type="spellStart"/>
      <w:r w:rsidRPr="004C5018">
        <w:rPr>
          <w:sz w:val="22"/>
          <w:szCs w:val="22"/>
        </w:rPr>
        <w:t>Neviana</w:t>
      </w:r>
      <w:proofErr w:type="spellEnd"/>
      <w:r w:rsidRPr="004C5018">
        <w:rPr>
          <w:sz w:val="22"/>
          <w:szCs w:val="22"/>
        </w:rPr>
        <w:t xml:space="preserve"> </w:t>
      </w:r>
      <w:proofErr w:type="spellStart"/>
      <w:r w:rsidRPr="004C5018">
        <w:rPr>
          <w:sz w:val="22"/>
          <w:szCs w:val="22"/>
        </w:rPr>
        <w:t>Petkova</w:t>
      </w:r>
      <w:proofErr w:type="spellEnd"/>
      <w:r w:rsidRPr="004C5018">
        <w:rPr>
          <w:sz w:val="22"/>
          <w:szCs w:val="22"/>
        </w:rPr>
        <w:t xml:space="preserve">, and John Van Reenen. 2019. “Who Becomes an Inventor in America? The Importance of Exposure to Innovation.” </w:t>
      </w:r>
      <w:r w:rsidRPr="004C5018">
        <w:rPr>
          <w:i/>
          <w:sz w:val="22"/>
          <w:szCs w:val="22"/>
        </w:rPr>
        <w:t>Quarterly Journal of Economics</w:t>
      </w:r>
      <w:r w:rsidRPr="004C5018">
        <w:rPr>
          <w:sz w:val="22"/>
          <w:szCs w:val="22"/>
        </w:rPr>
        <w:t xml:space="preserve">, forthcoming.  </w:t>
      </w:r>
      <w:hyperlink r:id="rId21" w:history="1">
        <w:r w:rsidRPr="004C5018">
          <w:rPr>
            <w:rStyle w:val="Hyperlink"/>
            <w:sz w:val="22"/>
            <w:szCs w:val="22"/>
          </w:rPr>
          <w:t>Non-technical summary</w:t>
        </w:r>
      </w:hyperlink>
      <w:r w:rsidRPr="004C5018">
        <w:rPr>
          <w:sz w:val="22"/>
          <w:szCs w:val="22"/>
        </w:rPr>
        <w:t>.</w:t>
      </w:r>
    </w:p>
    <w:p w14:paraId="73C6F6CE" w14:textId="77777777" w:rsidR="000E1A71" w:rsidRPr="004C5018" w:rsidRDefault="000E1A71" w:rsidP="0042688D">
      <w:pPr>
        <w:ind w:left="720" w:hanging="720"/>
        <w:contextualSpacing/>
        <w:mirrorIndents/>
        <w:rPr>
          <w:sz w:val="22"/>
          <w:szCs w:val="22"/>
        </w:rPr>
      </w:pPr>
    </w:p>
    <w:p w14:paraId="32F73326" w14:textId="77777777" w:rsidR="000E1A71" w:rsidRPr="004C5018" w:rsidRDefault="000E1A71" w:rsidP="0042688D">
      <w:pPr>
        <w:ind w:left="720" w:hanging="720"/>
        <w:contextualSpacing/>
        <w:mirrorIndents/>
        <w:rPr>
          <w:sz w:val="22"/>
          <w:szCs w:val="22"/>
        </w:rPr>
      </w:pPr>
      <w:proofErr w:type="spellStart"/>
      <w:r w:rsidRPr="004C5018">
        <w:rPr>
          <w:sz w:val="22"/>
          <w:szCs w:val="22"/>
        </w:rPr>
        <w:t>Bian</w:t>
      </w:r>
      <w:proofErr w:type="spellEnd"/>
      <w:r w:rsidRPr="004C5018">
        <w:rPr>
          <w:sz w:val="22"/>
          <w:szCs w:val="22"/>
        </w:rPr>
        <w:t xml:space="preserve">, Lin, Sarah-Jane Leslie, and Andrei </w:t>
      </w:r>
      <w:proofErr w:type="spellStart"/>
      <w:r w:rsidRPr="004C5018">
        <w:rPr>
          <w:sz w:val="22"/>
          <w:szCs w:val="22"/>
        </w:rPr>
        <w:t>Cimpian</w:t>
      </w:r>
      <w:proofErr w:type="spellEnd"/>
      <w:r w:rsidRPr="004C5018">
        <w:rPr>
          <w:sz w:val="22"/>
          <w:szCs w:val="22"/>
        </w:rPr>
        <w:t xml:space="preserve">. 2017. “Gender Stereotypes about Intellectual Ability Emerge Early and Influence Children’s Interests.” </w:t>
      </w:r>
      <w:r w:rsidRPr="004C5018">
        <w:rPr>
          <w:i/>
          <w:iCs/>
          <w:sz w:val="22"/>
          <w:szCs w:val="22"/>
        </w:rPr>
        <w:t>Science</w:t>
      </w:r>
      <w:r w:rsidRPr="004C5018">
        <w:rPr>
          <w:sz w:val="22"/>
          <w:szCs w:val="22"/>
        </w:rPr>
        <w:t xml:space="preserve"> 391 (6323): 389–91.</w:t>
      </w:r>
    </w:p>
    <w:p w14:paraId="422E2207" w14:textId="77777777" w:rsidR="000E1A71" w:rsidRPr="004C5018" w:rsidRDefault="000E1A71" w:rsidP="0042688D">
      <w:pPr>
        <w:contextualSpacing/>
        <w:mirrorIndents/>
        <w:rPr>
          <w:sz w:val="22"/>
          <w:szCs w:val="22"/>
        </w:rPr>
      </w:pPr>
    </w:p>
    <w:p w14:paraId="7EDC4BEB" w14:textId="77777777" w:rsidR="000E1A71" w:rsidRPr="004C5018" w:rsidRDefault="000E1A71" w:rsidP="0042688D">
      <w:pPr>
        <w:contextualSpacing/>
        <w:mirrorIndents/>
        <w:jc w:val="center"/>
        <w:rPr>
          <w:sz w:val="22"/>
          <w:szCs w:val="22"/>
        </w:rPr>
      </w:pPr>
      <w:r w:rsidRPr="004C5018">
        <w:rPr>
          <w:sz w:val="22"/>
          <w:szCs w:val="22"/>
          <w:u w:val="single"/>
        </w:rPr>
        <w:t>Part II: Education</w:t>
      </w:r>
    </w:p>
    <w:p w14:paraId="1E0049B8" w14:textId="77777777" w:rsidR="00DD0C62" w:rsidRPr="004C5018" w:rsidRDefault="00DD0C62" w:rsidP="0042688D">
      <w:pPr>
        <w:ind w:left="480" w:hanging="480"/>
        <w:contextualSpacing/>
        <w:mirrorIndents/>
        <w:rPr>
          <w:i/>
          <w:color w:val="000000"/>
          <w:sz w:val="22"/>
          <w:szCs w:val="22"/>
        </w:rPr>
      </w:pPr>
      <w:r w:rsidRPr="004C5018">
        <w:rPr>
          <w:i/>
          <w:color w:val="000000"/>
          <w:sz w:val="22"/>
          <w:szCs w:val="22"/>
        </w:rPr>
        <w:t xml:space="preserve">Higher Education </w:t>
      </w:r>
    </w:p>
    <w:p w14:paraId="43BC1954" w14:textId="77777777" w:rsidR="0042688D" w:rsidRPr="004C5018" w:rsidRDefault="0042688D" w:rsidP="0042688D">
      <w:pPr>
        <w:ind w:left="480" w:hanging="480"/>
        <w:contextualSpacing/>
        <w:mirrorIndents/>
        <w:rPr>
          <w:sz w:val="22"/>
          <w:szCs w:val="22"/>
        </w:rPr>
      </w:pPr>
    </w:p>
    <w:p w14:paraId="64596D5B" w14:textId="75406DAA" w:rsidR="000E1A71" w:rsidRPr="004C5018" w:rsidRDefault="000E1A71" w:rsidP="0042688D">
      <w:pPr>
        <w:ind w:left="480" w:hanging="480"/>
        <w:contextualSpacing/>
        <w:mirrorIndents/>
        <w:rPr>
          <w:sz w:val="22"/>
          <w:szCs w:val="22"/>
        </w:rPr>
      </w:pPr>
      <w:r w:rsidRPr="004C5018">
        <w:rPr>
          <w:sz w:val="22"/>
          <w:szCs w:val="22"/>
        </w:rPr>
        <w:t>Chetty, Raj, John N</w:t>
      </w:r>
      <w:r w:rsidR="00DD0C62" w:rsidRPr="004C5018">
        <w:rPr>
          <w:sz w:val="22"/>
          <w:szCs w:val="22"/>
        </w:rPr>
        <w:t>.</w:t>
      </w:r>
      <w:r w:rsidRPr="004C5018">
        <w:rPr>
          <w:sz w:val="22"/>
          <w:szCs w:val="22"/>
        </w:rPr>
        <w:t xml:space="preserve"> Friedman, Emmanuel </w:t>
      </w:r>
      <w:proofErr w:type="spellStart"/>
      <w:r w:rsidRPr="004C5018">
        <w:rPr>
          <w:sz w:val="22"/>
          <w:szCs w:val="22"/>
        </w:rPr>
        <w:t>Saez</w:t>
      </w:r>
      <w:proofErr w:type="spellEnd"/>
      <w:r w:rsidRPr="004C5018">
        <w:rPr>
          <w:sz w:val="22"/>
          <w:szCs w:val="22"/>
        </w:rPr>
        <w:t xml:space="preserve">, Nicholas Turner, and Danny </w:t>
      </w:r>
      <w:proofErr w:type="spellStart"/>
      <w:r w:rsidRPr="004C5018">
        <w:rPr>
          <w:sz w:val="22"/>
          <w:szCs w:val="22"/>
        </w:rPr>
        <w:t>Yagan</w:t>
      </w:r>
      <w:proofErr w:type="spellEnd"/>
      <w:r w:rsidRPr="004C5018">
        <w:rPr>
          <w:sz w:val="22"/>
          <w:szCs w:val="22"/>
        </w:rPr>
        <w:t xml:space="preserve">. 2018. “Mobility Report Cards: The Role of Colleges in Intergenerational Mobility.” NBER Working Paper No. 24441. </w:t>
      </w:r>
      <w:hyperlink r:id="rId22" w:history="1">
        <w:r w:rsidRPr="004C5018">
          <w:rPr>
            <w:rStyle w:val="Hyperlink"/>
            <w:sz w:val="22"/>
            <w:szCs w:val="22"/>
          </w:rPr>
          <w:t>Non-technical summary</w:t>
        </w:r>
      </w:hyperlink>
    </w:p>
    <w:p w14:paraId="6F6A36BA" w14:textId="77777777" w:rsidR="0042688D" w:rsidRPr="004C5018" w:rsidRDefault="0042688D" w:rsidP="0042688D">
      <w:pPr>
        <w:ind w:left="480" w:hanging="480"/>
        <w:contextualSpacing/>
        <w:mirrorIndents/>
        <w:rPr>
          <w:b/>
          <w:sz w:val="22"/>
          <w:szCs w:val="22"/>
        </w:rPr>
      </w:pPr>
    </w:p>
    <w:p w14:paraId="1CBD24FB" w14:textId="22248E0C" w:rsidR="00DD0C62" w:rsidRPr="004C5018" w:rsidRDefault="00DD0C62" w:rsidP="0042688D">
      <w:pPr>
        <w:ind w:left="480" w:hanging="480"/>
        <w:contextualSpacing/>
        <w:mirrorIndents/>
        <w:rPr>
          <w:b/>
          <w:sz w:val="22"/>
          <w:szCs w:val="22"/>
        </w:rPr>
      </w:pPr>
      <w:proofErr w:type="spellStart"/>
      <w:r w:rsidRPr="004C5018">
        <w:rPr>
          <w:b/>
          <w:sz w:val="22"/>
          <w:szCs w:val="22"/>
        </w:rPr>
        <w:t>Dynarski</w:t>
      </w:r>
      <w:proofErr w:type="spellEnd"/>
      <w:r w:rsidRPr="004C5018">
        <w:rPr>
          <w:b/>
          <w:sz w:val="22"/>
          <w:szCs w:val="22"/>
        </w:rPr>
        <w:t xml:space="preserve">, Susan, C.J. </w:t>
      </w:r>
      <w:proofErr w:type="spellStart"/>
      <w:r w:rsidRPr="004C5018">
        <w:rPr>
          <w:b/>
          <w:sz w:val="22"/>
          <w:szCs w:val="22"/>
        </w:rPr>
        <w:t>Libassi</w:t>
      </w:r>
      <w:proofErr w:type="spellEnd"/>
      <w:r w:rsidRPr="004C5018">
        <w:rPr>
          <w:b/>
          <w:sz w:val="22"/>
          <w:szCs w:val="22"/>
        </w:rPr>
        <w:t xml:space="preserve">, Katherine </w:t>
      </w:r>
      <w:proofErr w:type="spellStart"/>
      <w:r w:rsidRPr="004C5018">
        <w:rPr>
          <w:b/>
          <w:sz w:val="22"/>
          <w:szCs w:val="22"/>
        </w:rPr>
        <w:t>Michelmore</w:t>
      </w:r>
      <w:proofErr w:type="spellEnd"/>
      <w:r w:rsidRPr="004C5018">
        <w:rPr>
          <w:b/>
          <w:sz w:val="22"/>
          <w:szCs w:val="22"/>
        </w:rPr>
        <w:t>, and Stephanie Owen. 2018. “Closing the Gap: The Effect of a Targeted, Tuition-Free Promise on College Choices of High-Achieving, Low-Income Students.” NBER Working Paper No. 25349</w:t>
      </w:r>
    </w:p>
    <w:p w14:paraId="35A845F9" w14:textId="77777777" w:rsidR="0042688D" w:rsidRPr="004C5018" w:rsidRDefault="0042688D" w:rsidP="0042688D">
      <w:pPr>
        <w:ind w:left="450" w:hanging="450"/>
        <w:contextualSpacing/>
        <w:mirrorIndents/>
        <w:rPr>
          <w:sz w:val="22"/>
          <w:szCs w:val="22"/>
        </w:rPr>
      </w:pPr>
    </w:p>
    <w:p w14:paraId="0BACC917" w14:textId="58C26BA4" w:rsidR="00DD0C62" w:rsidRPr="004C5018" w:rsidRDefault="00DD0C62" w:rsidP="0042688D">
      <w:pPr>
        <w:ind w:left="450" w:hanging="450"/>
        <w:contextualSpacing/>
        <w:mirrorIndents/>
        <w:rPr>
          <w:sz w:val="22"/>
          <w:szCs w:val="22"/>
        </w:rPr>
      </w:pPr>
      <w:proofErr w:type="spellStart"/>
      <w:r w:rsidRPr="004C5018">
        <w:rPr>
          <w:sz w:val="22"/>
          <w:szCs w:val="22"/>
        </w:rPr>
        <w:t>Ekowo</w:t>
      </w:r>
      <w:proofErr w:type="spellEnd"/>
      <w:r w:rsidRPr="004C5018">
        <w:rPr>
          <w:sz w:val="22"/>
          <w:szCs w:val="22"/>
        </w:rPr>
        <w:t xml:space="preserve">, Manuela and Iris Palmer. 2016.  </w:t>
      </w:r>
      <w:hyperlink r:id="rId23" w:history="1">
        <w:r w:rsidRPr="004C5018">
          <w:rPr>
            <w:rStyle w:val="Hyperlink"/>
            <w:sz w:val="22"/>
            <w:szCs w:val="22"/>
          </w:rPr>
          <w:t>The Promise and Peril of Predictive Analytics in Higher Education</w:t>
        </w:r>
      </w:hyperlink>
      <w:r w:rsidRPr="004C5018">
        <w:rPr>
          <w:sz w:val="22"/>
          <w:szCs w:val="22"/>
        </w:rPr>
        <w:t>.  New America Education Policy Program Report.</w:t>
      </w:r>
    </w:p>
    <w:p w14:paraId="4690F94A" w14:textId="77777777" w:rsidR="0042688D" w:rsidRPr="004C5018" w:rsidRDefault="0042688D" w:rsidP="0042688D">
      <w:pPr>
        <w:ind w:left="480" w:hanging="480"/>
        <w:contextualSpacing/>
        <w:mirrorIndents/>
        <w:rPr>
          <w:sz w:val="22"/>
          <w:szCs w:val="22"/>
        </w:rPr>
      </w:pPr>
    </w:p>
    <w:p w14:paraId="0AB2A795" w14:textId="139141AB" w:rsidR="00DD0C62" w:rsidRPr="004C5018" w:rsidRDefault="00DD0C62" w:rsidP="0042688D">
      <w:pPr>
        <w:ind w:left="480" w:hanging="480"/>
        <w:contextualSpacing/>
        <w:mirrorIndents/>
        <w:rPr>
          <w:sz w:val="22"/>
          <w:szCs w:val="22"/>
        </w:rPr>
      </w:pPr>
      <w:proofErr w:type="spellStart"/>
      <w:r w:rsidRPr="004C5018">
        <w:rPr>
          <w:sz w:val="22"/>
          <w:szCs w:val="22"/>
        </w:rPr>
        <w:t>Hoxby</w:t>
      </w:r>
      <w:proofErr w:type="spellEnd"/>
      <w:r w:rsidRPr="004C5018">
        <w:rPr>
          <w:sz w:val="22"/>
          <w:szCs w:val="22"/>
        </w:rPr>
        <w:t xml:space="preserve">, Caroline, and Sarah Turner. 2013. “Expanding College Opportunities for High-Achieving, Low Income Students.” </w:t>
      </w:r>
      <w:r w:rsidRPr="004C5018">
        <w:rPr>
          <w:i/>
          <w:iCs/>
          <w:sz w:val="22"/>
          <w:szCs w:val="22"/>
        </w:rPr>
        <w:t>Stanford Institute for Economic Policy Research Discussion Paper</w:t>
      </w:r>
      <w:r w:rsidRPr="004C5018">
        <w:rPr>
          <w:sz w:val="22"/>
          <w:szCs w:val="22"/>
        </w:rPr>
        <w:t>, no. 12-014: 1–57.</w:t>
      </w:r>
    </w:p>
    <w:p w14:paraId="36516552" w14:textId="77777777" w:rsidR="0042688D" w:rsidRPr="004C5018" w:rsidRDefault="0042688D" w:rsidP="0042688D">
      <w:pPr>
        <w:ind w:left="720" w:hanging="720"/>
        <w:contextualSpacing/>
        <w:mirrorIndents/>
        <w:rPr>
          <w:sz w:val="22"/>
          <w:szCs w:val="22"/>
        </w:rPr>
      </w:pPr>
    </w:p>
    <w:p w14:paraId="55C526FB" w14:textId="42B86041" w:rsidR="000E1A71" w:rsidRPr="004C5018" w:rsidRDefault="000E1A71" w:rsidP="0042688D">
      <w:pPr>
        <w:ind w:left="720" w:hanging="720"/>
        <w:contextualSpacing/>
        <w:mirrorIndents/>
        <w:rPr>
          <w:sz w:val="22"/>
          <w:szCs w:val="22"/>
        </w:rPr>
      </w:pPr>
      <w:r w:rsidRPr="004C5018">
        <w:rPr>
          <w:sz w:val="22"/>
          <w:szCs w:val="22"/>
        </w:rPr>
        <w:t xml:space="preserve">Zimmerman, Seth D. 2014. “The Returns to College Admission for Academically Marginal Students.” </w:t>
      </w:r>
      <w:r w:rsidRPr="004C5018">
        <w:rPr>
          <w:i/>
          <w:sz w:val="22"/>
          <w:szCs w:val="22"/>
        </w:rPr>
        <w:t>Journal of Labor Economics</w:t>
      </w:r>
      <w:r w:rsidRPr="004C5018">
        <w:rPr>
          <w:sz w:val="22"/>
          <w:szCs w:val="22"/>
        </w:rPr>
        <w:t xml:space="preserve"> 32(4): 711-754. </w:t>
      </w:r>
    </w:p>
    <w:p w14:paraId="0EED90AE" w14:textId="77777777"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sz w:val="22"/>
          <w:szCs w:val="22"/>
        </w:rPr>
      </w:pPr>
    </w:p>
    <w:p w14:paraId="48D2BFF2" w14:textId="0250A141"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i/>
          <w:sz w:val="22"/>
          <w:szCs w:val="22"/>
        </w:rPr>
      </w:pPr>
      <w:r w:rsidRPr="004C5018">
        <w:rPr>
          <w:rFonts w:ascii="Times New Roman" w:hAnsi="Times New Roman"/>
          <w:i/>
          <w:color w:val="000000"/>
          <w:sz w:val="22"/>
          <w:szCs w:val="22"/>
        </w:rPr>
        <w:t>Primary Education</w:t>
      </w:r>
    </w:p>
    <w:p w14:paraId="09ADD61A" w14:textId="77777777"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sz w:val="22"/>
          <w:szCs w:val="22"/>
        </w:rPr>
      </w:pPr>
    </w:p>
    <w:p w14:paraId="3A0DDB88" w14:textId="4AD42D18"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 xml:space="preserve">Chetty, Raj, John N. Friedman, Nathaniel </w:t>
      </w:r>
      <w:proofErr w:type="spellStart"/>
      <w:r w:rsidRPr="004C5018">
        <w:rPr>
          <w:rFonts w:ascii="Times New Roman" w:hAnsi="Times New Roman"/>
          <w:sz w:val="22"/>
          <w:szCs w:val="22"/>
        </w:rPr>
        <w:t>Hilger</w:t>
      </w:r>
      <w:proofErr w:type="spellEnd"/>
      <w:r w:rsidRPr="004C5018">
        <w:rPr>
          <w:rFonts w:ascii="Times New Roman" w:hAnsi="Times New Roman"/>
          <w:sz w:val="22"/>
          <w:szCs w:val="22"/>
        </w:rPr>
        <w:t xml:space="preserve">, Emmanuel </w:t>
      </w:r>
      <w:proofErr w:type="spellStart"/>
      <w:r w:rsidRPr="004C5018">
        <w:rPr>
          <w:rFonts w:ascii="Times New Roman" w:hAnsi="Times New Roman"/>
          <w:sz w:val="22"/>
          <w:szCs w:val="22"/>
        </w:rPr>
        <w:t>Saez</w:t>
      </w:r>
      <w:proofErr w:type="spellEnd"/>
      <w:r w:rsidRPr="004C5018">
        <w:rPr>
          <w:rFonts w:ascii="Times New Roman" w:hAnsi="Times New Roman"/>
          <w:sz w:val="22"/>
          <w:szCs w:val="22"/>
        </w:rPr>
        <w:t xml:space="preserve">, Diane Whitmore </w:t>
      </w:r>
      <w:proofErr w:type="spellStart"/>
      <w:r w:rsidRPr="004C5018">
        <w:rPr>
          <w:rFonts w:ascii="Times New Roman" w:hAnsi="Times New Roman"/>
          <w:sz w:val="22"/>
          <w:szCs w:val="22"/>
        </w:rPr>
        <w:t>Schanzenbach</w:t>
      </w:r>
      <w:proofErr w:type="spellEnd"/>
      <w:r w:rsidRPr="004C5018">
        <w:rPr>
          <w:rFonts w:ascii="Times New Roman" w:hAnsi="Times New Roman"/>
          <w:sz w:val="22"/>
          <w:szCs w:val="22"/>
        </w:rPr>
        <w:t xml:space="preserve">, and Danny </w:t>
      </w:r>
      <w:proofErr w:type="spellStart"/>
      <w:r w:rsidRPr="004C5018">
        <w:rPr>
          <w:rFonts w:ascii="Times New Roman" w:hAnsi="Times New Roman"/>
          <w:sz w:val="22"/>
          <w:szCs w:val="22"/>
        </w:rPr>
        <w:t>Yagan</w:t>
      </w:r>
      <w:proofErr w:type="spellEnd"/>
      <w:r w:rsidRPr="004C5018">
        <w:rPr>
          <w:rFonts w:ascii="Times New Roman" w:hAnsi="Times New Roman"/>
          <w:sz w:val="22"/>
          <w:szCs w:val="22"/>
        </w:rPr>
        <w:t xml:space="preserve">. 2011. “How Does Your Kindergarten Classroom Affect Your Earnings? Evidence from Project STAR.” </w:t>
      </w:r>
      <w:r w:rsidRPr="004C5018">
        <w:rPr>
          <w:rFonts w:ascii="Times New Roman" w:hAnsi="Times New Roman"/>
          <w:i/>
          <w:iCs/>
          <w:sz w:val="22"/>
          <w:szCs w:val="22"/>
        </w:rPr>
        <w:t>Quarterly Journal of Economics</w:t>
      </w:r>
      <w:r w:rsidRPr="004C5018">
        <w:rPr>
          <w:rFonts w:ascii="Times New Roman" w:hAnsi="Times New Roman"/>
          <w:sz w:val="22"/>
          <w:szCs w:val="22"/>
        </w:rPr>
        <w:t xml:space="preserve"> 126 (4): 1593–1660. </w:t>
      </w:r>
      <w:hyperlink r:id="rId24" w:history="1">
        <w:r w:rsidRPr="004C5018">
          <w:rPr>
            <w:rStyle w:val="Hyperlink"/>
            <w:rFonts w:ascii="Times New Roman" w:hAnsi="Times New Roman"/>
            <w:sz w:val="22"/>
            <w:szCs w:val="22"/>
          </w:rPr>
          <w:t>Non-technical summary.</w:t>
        </w:r>
      </w:hyperlink>
    </w:p>
    <w:p w14:paraId="444DB99A" w14:textId="77777777" w:rsidR="000E1A71" w:rsidRPr="004C5018" w:rsidRDefault="000E1A71" w:rsidP="0042688D">
      <w:pPr>
        <w:contextualSpacing/>
        <w:mirrorIndents/>
        <w:rPr>
          <w:sz w:val="22"/>
          <w:szCs w:val="22"/>
        </w:rPr>
      </w:pPr>
    </w:p>
    <w:p w14:paraId="74D62EEB" w14:textId="1C0E6510"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Chetty, Raj, John N</w:t>
      </w:r>
      <w:r w:rsidR="00DD0C62" w:rsidRPr="004C5018">
        <w:rPr>
          <w:rFonts w:ascii="Times New Roman" w:hAnsi="Times New Roman"/>
          <w:sz w:val="22"/>
          <w:szCs w:val="22"/>
        </w:rPr>
        <w:t>.</w:t>
      </w:r>
      <w:r w:rsidRPr="004C5018">
        <w:rPr>
          <w:rFonts w:ascii="Times New Roman" w:hAnsi="Times New Roman"/>
          <w:sz w:val="22"/>
          <w:szCs w:val="22"/>
        </w:rPr>
        <w:t xml:space="preserve"> Friedman, and Jonah E Rockoff. 2014. “Measuring the Impacts of Teachers I: Evaluating Bias in Teacher Value-Added Estimates.” </w:t>
      </w:r>
      <w:r w:rsidRPr="004C5018">
        <w:rPr>
          <w:rFonts w:ascii="Times New Roman" w:hAnsi="Times New Roman"/>
          <w:i/>
          <w:iCs/>
          <w:sz w:val="22"/>
          <w:szCs w:val="22"/>
        </w:rPr>
        <w:t>American Economic Review</w:t>
      </w:r>
      <w:r w:rsidRPr="004C5018">
        <w:rPr>
          <w:rFonts w:ascii="Times New Roman" w:hAnsi="Times New Roman"/>
          <w:sz w:val="22"/>
          <w:szCs w:val="22"/>
        </w:rPr>
        <w:t xml:space="preserve"> 104 (9): 2593–2632. </w:t>
      </w:r>
      <w:hyperlink r:id="rId25" w:history="1">
        <w:r w:rsidRPr="004C5018">
          <w:rPr>
            <w:rStyle w:val="Hyperlink"/>
            <w:rFonts w:ascii="Times New Roman" w:hAnsi="Times New Roman"/>
            <w:sz w:val="22"/>
            <w:szCs w:val="22"/>
          </w:rPr>
          <w:t>Non-technical summary.</w:t>
        </w:r>
      </w:hyperlink>
    </w:p>
    <w:p w14:paraId="57D2F5BD" w14:textId="77777777"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p>
    <w:p w14:paraId="532A43FA" w14:textId="1BB4B2A4"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b/>
          <w:sz w:val="22"/>
          <w:szCs w:val="22"/>
        </w:rPr>
      </w:pPr>
      <w:r w:rsidRPr="004C5018">
        <w:rPr>
          <w:rFonts w:ascii="Times New Roman" w:hAnsi="Times New Roman"/>
          <w:b/>
          <w:sz w:val="22"/>
          <w:szCs w:val="22"/>
        </w:rPr>
        <w:t>Chetty, Raj, John N</w:t>
      </w:r>
      <w:r w:rsidR="00DD0C62" w:rsidRPr="004C5018">
        <w:rPr>
          <w:rFonts w:ascii="Times New Roman" w:hAnsi="Times New Roman"/>
          <w:b/>
          <w:sz w:val="22"/>
          <w:szCs w:val="22"/>
        </w:rPr>
        <w:t>.</w:t>
      </w:r>
      <w:r w:rsidRPr="004C5018">
        <w:rPr>
          <w:rFonts w:ascii="Times New Roman" w:hAnsi="Times New Roman"/>
          <w:b/>
          <w:sz w:val="22"/>
          <w:szCs w:val="22"/>
        </w:rPr>
        <w:t xml:space="preserve"> Friedman, and Jonah E</w:t>
      </w:r>
      <w:r w:rsidR="00DD0C62" w:rsidRPr="004C5018">
        <w:rPr>
          <w:rFonts w:ascii="Times New Roman" w:hAnsi="Times New Roman"/>
          <w:b/>
          <w:sz w:val="22"/>
          <w:szCs w:val="22"/>
        </w:rPr>
        <w:t>.</w:t>
      </w:r>
      <w:r w:rsidRPr="004C5018">
        <w:rPr>
          <w:rFonts w:ascii="Times New Roman" w:hAnsi="Times New Roman"/>
          <w:b/>
          <w:sz w:val="22"/>
          <w:szCs w:val="22"/>
        </w:rPr>
        <w:t xml:space="preserve"> Rockoff. 2011. “Measuring the Impacts of Teachers II: Teacher Value-Added and Student Outcomes in Adulthood.” </w:t>
      </w:r>
      <w:r w:rsidRPr="004C5018">
        <w:rPr>
          <w:rFonts w:ascii="Times New Roman" w:hAnsi="Times New Roman"/>
          <w:b/>
          <w:i/>
          <w:iCs/>
          <w:sz w:val="22"/>
          <w:szCs w:val="22"/>
        </w:rPr>
        <w:t>American Economic Review</w:t>
      </w:r>
      <w:r w:rsidRPr="004C5018">
        <w:rPr>
          <w:rFonts w:ascii="Times New Roman" w:hAnsi="Times New Roman"/>
          <w:b/>
          <w:sz w:val="22"/>
          <w:szCs w:val="22"/>
        </w:rPr>
        <w:t xml:space="preserve"> 104 (9): 2633–79.</w:t>
      </w:r>
      <w:r w:rsidRPr="004C5018">
        <w:rPr>
          <w:rStyle w:val="Hyperlink"/>
          <w:rFonts w:ascii="Times New Roman" w:hAnsi="Times New Roman"/>
          <w:b/>
          <w:color w:val="000000" w:themeColor="text1"/>
          <w:sz w:val="22"/>
          <w:szCs w:val="22"/>
          <w:u w:val="none"/>
        </w:rPr>
        <w:t xml:space="preserve"> </w:t>
      </w:r>
      <w:hyperlink r:id="rId26" w:history="1">
        <w:r w:rsidRPr="004C5018">
          <w:rPr>
            <w:rStyle w:val="Hyperlink"/>
            <w:rFonts w:ascii="Times New Roman" w:hAnsi="Times New Roman"/>
            <w:b/>
            <w:sz w:val="22"/>
            <w:szCs w:val="22"/>
          </w:rPr>
          <w:t>Non-technical summary.</w:t>
        </w:r>
      </w:hyperlink>
    </w:p>
    <w:p w14:paraId="4133B732" w14:textId="77777777" w:rsidR="00C576D1" w:rsidRPr="004C5018" w:rsidRDefault="00C576D1" w:rsidP="0042688D">
      <w:pPr>
        <w:ind w:left="480" w:hanging="480"/>
        <w:contextualSpacing/>
        <w:mirrorIndents/>
        <w:rPr>
          <w:sz w:val="22"/>
          <w:szCs w:val="22"/>
        </w:rPr>
      </w:pPr>
    </w:p>
    <w:p w14:paraId="177EB260" w14:textId="01E17435" w:rsidR="000E1A71" w:rsidRPr="004C5018" w:rsidRDefault="000E1A71" w:rsidP="0042688D">
      <w:pPr>
        <w:ind w:left="480" w:hanging="480"/>
        <w:contextualSpacing/>
        <w:mirrorIndents/>
        <w:rPr>
          <w:sz w:val="22"/>
          <w:szCs w:val="22"/>
        </w:rPr>
      </w:pPr>
      <w:proofErr w:type="spellStart"/>
      <w:r w:rsidRPr="004C5018">
        <w:rPr>
          <w:sz w:val="22"/>
          <w:szCs w:val="22"/>
        </w:rPr>
        <w:t>Fredriksson</w:t>
      </w:r>
      <w:proofErr w:type="spellEnd"/>
      <w:r w:rsidRPr="004C5018">
        <w:rPr>
          <w:sz w:val="22"/>
          <w:szCs w:val="22"/>
        </w:rPr>
        <w:t xml:space="preserve">, Peter, </w:t>
      </w:r>
      <w:proofErr w:type="spellStart"/>
      <w:r w:rsidRPr="004C5018">
        <w:rPr>
          <w:sz w:val="22"/>
          <w:szCs w:val="22"/>
        </w:rPr>
        <w:t>Björn</w:t>
      </w:r>
      <w:proofErr w:type="spellEnd"/>
      <w:r w:rsidRPr="004C5018">
        <w:rPr>
          <w:sz w:val="22"/>
          <w:szCs w:val="22"/>
        </w:rPr>
        <w:t xml:space="preserve"> </w:t>
      </w:r>
      <w:proofErr w:type="spellStart"/>
      <w:r w:rsidRPr="004C5018">
        <w:rPr>
          <w:sz w:val="22"/>
          <w:szCs w:val="22"/>
        </w:rPr>
        <w:t>Öckert</w:t>
      </w:r>
      <w:proofErr w:type="spellEnd"/>
      <w:r w:rsidRPr="004C5018">
        <w:rPr>
          <w:sz w:val="22"/>
          <w:szCs w:val="22"/>
        </w:rPr>
        <w:t xml:space="preserve">, and Hessel </w:t>
      </w:r>
      <w:proofErr w:type="spellStart"/>
      <w:r w:rsidRPr="004C5018">
        <w:rPr>
          <w:sz w:val="22"/>
          <w:szCs w:val="22"/>
        </w:rPr>
        <w:t>Oosterbeek</w:t>
      </w:r>
      <w:proofErr w:type="spellEnd"/>
      <w:r w:rsidRPr="004C5018">
        <w:rPr>
          <w:sz w:val="22"/>
          <w:szCs w:val="22"/>
        </w:rPr>
        <w:t xml:space="preserve">. 2013. “Long-Term Effects of Class Size.” </w:t>
      </w:r>
      <w:r w:rsidRPr="004C5018">
        <w:rPr>
          <w:i/>
          <w:iCs/>
          <w:sz w:val="22"/>
          <w:szCs w:val="22"/>
        </w:rPr>
        <w:t>Quarterly Journal of Economics</w:t>
      </w:r>
      <w:r w:rsidRPr="004C5018">
        <w:rPr>
          <w:sz w:val="22"/>
          <w:szCs w:val="22"/>
        </w:rPr>
        <w:t xml:space="preserve"> 128 (1): 249–85.</w:t>
      </w:r>
    </w:p>
    <w:p w14:paraId="60D78349" w14:textId="77777777" w:rsidR="00C576D1" w:rsidRPr="004C5018" w:rsidRDefault="00C576D1" w:rsidP="0042688D">
      <w:pPr>
        <w:ind w:left="475" w:hanging="475"/>
        <w:contextualSpacing/>
        <w:mirrorIndents/>
        <w:rPr>
          <w:sz w:val="22"/>
          <w:szCs w:val="22"/>
        </w:rPr>
      </w:pPr>
    </w:p>
    <w:p w14:paraId="6F47C6FD" w14:textId="7807DDDE" w:rsidR="00DD0C62" w:rsidRPr="004C5018" w:rsidRDefault="00DD0C62" w:rsidP="0042688D">
      <w:pPr>
        <w:ind w:left="475" w:hanging="475"/>
        <w:contextualSpacing/>
        <w:mirrorIndents/>
        <w:rPr>
          <w:sz w:val="22"/>
          <w:szCs w:val="22"/>
        </w:rPr>
      </w:pPr>
      <w:r w:rsidRPr="004C5018">
        <w:rPr>
          <w:sz w:val="22"/>
          <w:szCs w:val="22"/>
        </w:rPr>
        <w:t xml:space="preserve">Reardon, Sean. 2016. “School Segregation and Racial Academic Achievement Gaps.” </w:t>
      </w:r>
      <w:r w:rsidRPr="004C5018">
        <w:rPr>
          <w:i/>
          <w:iCs/>
          <w:sz w:val="22"/>
          <w:szCs w:val="22"/>
        </w:rPr>
        <w:t>Russell Sage Foundation Journal of the Social Sciences</w:t>
      </w:r>
      <w:r w:rsidRPr="004C5018">
        <w:rPr>
          <w:sz w:val="22"/>
          <w:szCs w:val="22"/>
        </w:rPr>
        <w:t xml:space="preserve"> 2 (5): 34–57.</w:t>
      </w:r>
    </w:p>
    <w:p w14:paraId="20A6CFF0" w14:textId="77777777" w:rsidR="00DD0C62" w:rsidRPr="004C5018" w:rsidRDefault="00DD0C62" w:rsidP="0042688D">
      <w:pPr>
        <w:ind w:left="475" w:hanging="475"/>
        <w:contextualSpacing/>
        <w:mirrorIndents/>
        <w:rPr>
          <w:sz w:val="22"/>
          <w:szCs w:val="22"/>
        </w:rPr>
      </w:pPr>
    </w:p>
    <w:p w14:paraId="728DDD92" w14:textId="2FA9D03F" w:rsidR="000E1A71" w:rsidRPr="004C5018" w:rsidRDefault="000E1A71" w:rsidP="0042688D">
      <w:pPr>
        <w:ind w:left="475" w:hanging="475"/>
        <w:contextualSpacing/>
        <w:mirrorIndents/>
        <w:rPr>
          <w:sz w:val="22"/>
          <w:szCs w:val="22"/>
        </w:rPr>
      </w:pPr>
      <w:r w:rsidRPr="004C5018">
        <w:rPr>
          <w:sz w:val="22"/>
          <w:szCs w:val="22"/>
        </w:rPr>
        <w:lastRenderedPageBreak/>
        <w:t xml:space="preserve">Reardon, Sean, </w:t>
      </w:r>
      <w:proofErr w:type="spellStart"/>
      <w:r w:rsidRPr="004C5018">
        <w:rPr>
          <w:sz w:val="22"/>
          <w:szCs w:val="22"/>
        </w:rPr>
        <w:t>Demetra</w:t>
      </w:r>
      <w:proofErr w:type="spellEnd"/>
      <w:r w:rsidRPr="004C5018">
        <w:rPr>
          <w:sz w:val="22"/>
          <w:szCs w:val="22"/>
        </w:rPr>
        <w:t xml:space="preserve"> </w:t>
      </w:r>
      <w:proofErr w:type="spellStart"/>
      <w:r w:rsidRPr="004C5018">
        <w:rPr>
          <w:sz w:val="22"/>
          <w:szCs w:val="22"/>
        </w:rPr>
        <w:t>Kalagrides</w:t>
      </w:r>
      <w:proofErr w:type="spellEnd"/>
      <w:r w:rsidRPr="004C5018">
        <w:rPr>
          <w:sz w:val="22"/>
          <w:szCs w:val="22"/>
        </w:rPr>
        <w:t xml:space="preserve">, and Kenneth Shores. 2016. “The Geography of Racial/ Ethnic Test Score Gaps.” </w:t>
      </w:r>
      <w:r w:rsidRPr="004C5018">
        <w:rPr>
          <w:i/>
          <w:iCs/>
          <w:sz w:val="22"/>
          <w:szCs w:val="22"/>
        </w:rPr>
        <w:t>CEPA Working Paper</w:t>
      </w:r>
      <w:r w:rsidRPr="004C5018">
        <w:rPr>
          <w:sz w:val="22"/>
          <w:szCs w:val="22"/>
        </w:rPr>
        <w:t>, no. 16.</w:t>
      </w:r>
    </w:p>
    <w:p w14:paraId="5454916A" w14:textId="77777777"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i/>
          <w:color w:val="000000"/>
          <w:sz w:val="22"/>
          <w:szCs w:val="22"/>
        </w:rPr>
      </w:pPr>
    </w:p>
    <w:p w14:paraId="737C0AA8" w14:textId="12D70500" w:rsidR="00DD0C62" w:rsidRPr="004C5018" w:rsidRDefault="00DD0C62" w:rsidP="0042688D">
      <w:pPr>
        <w:pStyle w:val="NormalWeb"/>
        <w:spacing w:before="0" w:beforeAutospacing="0" w:after="0" w:afterAutospacing="0"/>
        <w:ind w:left="480" w:hanging="480"/>
        <w:contextualSpacing/>
        <w:mirrorIndents/>
        <w:rPr>
          <w:rFonts w:ascii="Times New Roman" w:hAnsi="Times New Roman"/>
          <w:i/>
          <w:sz w:val="22"/>
          <w:szCs w:val="22"/>
        </w:rPr>
      </w:pPr>
      <w:r w:rsidRPr="004C5018">
        <w:rPr>
          <w:rFonts w:ascii="Times New Roman" w:hAnsi="Times New Roman"/>
          <w:i/>
          <w:color w:val="000000"/>
          <w:sz w:val="22"/>
          <w:szCs w:val="22"/>
        </w:rPr>
        <w:t>Charter Schools</w:t>
      </w:r>
    </w:p>
    <w:p w14:paraId="5DB04C32" w14:textId="77777777" w:rsidR="00C576D1" w:rsidRPr="004C5018" w:rsidRDefault="00C576D1" w:rsidP="0042688D">
      <w:pPr>
        <w:ind w:left="480" w:hanging="480"/>
        <w:contextualSpacing/>
        <w:mirrorIndents/>
        <w:rPr>
          <w:sz w:val="22"/>
          <w:szCs w:val="22"/>
        </w:rPr>
      </w:pPr>
    </w:p>
    <w:p w14:paraId="477A1BEE" w14:textId="46D46840" w:rsidR="000E1A71" w:rsidRPr="004C5018" w:rsidRDefault="000E1A71" w:rsidP="0042688D">
      <w:pPr>
        <w:ind w:left="480" w:hanging="480"/>
        <w:contextualSpacing/>
        <w:mirrorIndents/>
        <w:rPr>
          <w:sz w:val="22"/>
          <w:szCs w:val="22"/>
        </w:rPr>
      </w:pPr>
      <w:proofErr w:type="spellStart"/>
      <w:r w:rsidRPr="004C5018">
        <w:rPr>
          <w:sz w:val="22"/>
          <w:szCs w:val="22"/>
        </w:rPr>
        <w:t>Abdulkadiroǧlu</w:t>
      </w:r>
      <w:proofErr w:type="spellEnd"/>
      <w:r w:rsidRPr="004C5018">
        <w:rPr>
          <w:sz w:val="22"/>
          <w:szCs w:val="22"/>
        </w:rPr>
        <w:t xml:space="preserve">, </w:t>
      </w:r>
      <w:proofErr w:type="spellStart"/>
      <w:r w:rsidRPr="004C5018">
        <w:rPr>
          <w:sz w:val="22"/>
          <w:szCs w:val="22"/>
        </w:rPr>
        <w:t>Atila</w:t>
      </w:r>
      <w:proofErr w:type="spellEnd"/>
      <w:r w:rsidRPr="004C5018">
        <w:rPr>
          <w:sz w:val="22"/>
          <w:szCs w:val="22"/>
        </w:rPr>
        <w:t xml:space="preserve">, Joshua D. Angrist, Susan M. </w:t>
      </w:r>
      <w:proofErr w:type="spellStart"/>
      <w:r w:rsidRPr="004C5018">
        <w:rPr>
          <w:sz w:val="22"/>
          <w:szCs w:val="22"/>
        </w:rPr>
        <w:t>Dynarski</w:t>
      </w:r>
      <w:proofErr w:type="spellEnd"/>
      <w:r w:rsidRPr="004C5018">
        <w:rPr>
          <w:sz w:val="22"/>
          <w:szCs w:val="22"/>
        </w:rPr>
        <w:t xml:space="preserve">, Thomas J. Kane, and Parag A. Pathak. 2011. “Accountability and Flexibility in Public Schools: Evidence from Boston’s Charters and Pilots.” </w:t>
      </w:r>
      <w:r w:rsidRPr="004C5018">
        <w:rPr>
          <w:i/>
          <w:iCs/>
          <w:sz w:val="22"/>
          <w:szCs w:val="22"/>
        </w:rPr>
        <w:t>Quarterly Journal of Economics</w:t>
      </w:r>
      <w:r w:rsidRPr="004C5018">
        <w:rPr>
          <w:sz w:val="22"/>
          <w:szCs w:val="22"/>
        </w:rPr>
        <w:t xml:space="preserve"> 126 (2): 699–748.</w:t>
      </w:r>
    </w:p>
    <w:p w14:paraId="62A3D50D" w14:textId="77777777" w:rsidR="00C576D1" w:rsidRPr="004C5018" w:rsidRDefault="00C576D1" w:rsidP="0042688D">
      <w:pPr>
        <w:ind w:left="480" w:hanging="480"/>
        <w:contextualSpacing/>
        <w:mirrorIndents/>
        <w:rPr>
          <w:sz w:val="22"/>
          <w:szCs w:val="22"/>
        </w:rPr>
      </w:pPr>
    </w:p>
    <w:p w14:paraId="328E56E6" w14:textId="4F67F80C" w:rsidR="000E1A71" w:rsidRPr="004C5018" w:rsidRDefault="000E1A71" w:rsidP="0042688D">
      <w:pPr>
        <w:ind w:left="480" w:hanging="480"/>
        <w:contextualSpacing/>
        <w:mirrorIndents/>
        <w:rPr>
          <w:sz w:val="22"/>
          <w:szCs w:val="22"/>
        </w:rPr>
      </w:pPr>
      <w:r w:rsidRPr="004C5018">
        <w:rPr>
          <w:sz w:val="22"/>
          <w:szCs w:val="22"/>
        </w:rPr>
        <w:t xml:space="preserve">Dobbie, Will, and Roland G. Fryer. 2011. “Are High-Quality Schools Enough to Increase Achievement among the Poor? Evidence from the Harlem Children’s Zone.” </w:t>
      </w:r>
      <w:r w:rsidRPr="004C5018">
        <w:rPr>
          <w:i/>
          <w:iCs/>
          <w:sz w:val="22"/>
          <w:szCs w:val="22"/>
        </w:rPr>
        <w:t>American Economic Journal: Applied Economics</w:t>
      </w:r>
      <w:r w:rsidRPr="004C5018">
        <w:rPr>
          <w:sz w:val="22"/>
          <w:szCs w:val="22"/>
        </w:rPr>
        <w:t xml:space="preserve"> 3 (3): 158–87.</w:t>
      </w:r>
    </w:p>
    <w:p w14:paraId="51870631" w14:textId="77777777" w:rsidR="00192347" w:rsidRPr="004C5018" w:rsidRDefault="00192347" w:rsidP="0042688D">
      <w:pPr>
        <w:contextualSpacing/>
        <w:mirrorIndents/>
        <w:jc w:val="center"/>
        <w:rPr>
          <w:sz w:val="22"/>
          <w:szCs w:val="22"/>
          <w:u w:val="single"/>
        </w:rPr>
      </w:pPr>
    </w:p>
    <w:p w14:paraId="19A87C71" w14:textId="0FE14E57" w:rsidR="000E1A71" w:rsidRPr="004C5018" w:rsidRDefault="000E1A71" w:rsidP="0042688D">
      <w:pPr>
        <w:contextualSpacing/>
        <w:mirrorIndents/>
        <w:jc w:val="center"/>
        <w:rPr>
          <w:sz w:val="22"/>
          <w:szCs w:val="22"/>
          <w:u w:val="single"/>
        </w:rPr>
      </w:pPr>
      <w:r w:rsidRPr="004C5018">
        <w:rPr>
          <w:sz w:val="22"/>
          <w:szCs w:val="22"/>
          <w:u w:val="single"/>
        </w:rPr>
        <w:t>Part III: Racial Disparities</w:t>
      </w:r>
    </w:p>
    <w:p w14:paraId="6FBAA815" w14:textId="20ECAF2F" w:rsidR="000E1A71" w:rsidRPr="004C5018" w:rsidRDefault="000E1A71" w:rsidP="0042688D">
      <w:pPr>
        <w:contextualSpacing/>
        <w:mirrorIndents/>
        <w:rPr>
          <w:sz w:val="22"/>
          <w:szCs w:val="22"/>
        </w:rPr>
      </w:pPr>
    </w:p>
    <w:p w14:paraId="330972BF" w14:textId="6F781B47" w:rsidR="00DD0C62" w:rsidRPr="004C5018" w:rsidRDefault="00DD0C62" w:rsidP="0042688D">
      <w:pPr>
        <w:contextualSpacing/>
        <w:mirrorIndents/>
        <w:rPr>
          <w:i/>
          <w:color w:val="000000"/>
          <w:sz w:val="22"/>
          <w:szCs w:val="22"/>
        </w:rPr>
      </w:pPr>
      <w:r w:rsidRPr="004C5018">
        <w:rPr>
          <w:i/>
          <w:color w:val="000000"/>
          <w:sz w:val="22"/>
          <w:szCs w:val="22"/>
        </w:rPr>
        <w:t xml:space="preserve">Racial Disparities </w:t>
      </w:r>
      <w:r w:rsidR="00B02A32" w:rsidRPr="004C5018">
        <w:rPr>
          <w:i/>
          <w:color w:val="000000"/>
          <w:sz w:val="22"/>
          <w:szCs w:val="22"/>
        </w:rPr>
        <w:t>and Segregation</w:t>
      </w:r>
    </w:p>
    <w:p w14:paraId="6349CA8F" w14:textId="77777777" w:rsidR="00DD0C62" w:rsidRPr="004C5018" w:rsidRDefault="00DD0C62" w:rsidP="0042688D">
      <w:pPr>
        <w:contextualSpacing/>
        <w:mirrorIndents/>
        <w:rPr>
          <w:sz w:val="22"/>
          <w:szCs w:val="22"/>
        </w:rPr>
      </w:pPr>
    </w:p>
    <w:p w14:paraId="66CF0DD6" w14:textId="6A74E374" w:rsidR="000E1A71" w:rsidRPr="004C5018" w:rsidRDefault="000E1A71" w:rsidP="0042688D">
      <w:pPr>
        <w:ind w:left="540" w:hanging="540"/>
        <w:contextualSpacing/>
        <w:mirrorIndents/>
        <w:rPr>
          <w:b/>
          <w:sz w:val="22"/>
          <w:szCs w:val="22"/>
        </w:rPr>
      </w:pPr>
      <w:r w:rsidRPr="004C5018">
        <w:rPr>
          <w:b/>
          <w:sz w:val="22"/>
          <w:szCs w:val="22"/>
        </w:rPr>
        <w:t xml:space="preserve">Chetty, Raj, Nathaniel Hendren, Maggie R. Jones, and Sonya R. Porter. 2018. “Race and Economic Opportunity in the United States: An Intergenerational Perspective.” NBER Working Paper No. 24441. </w:t>
      </w:r>
      <w:hyperlink r:id="rId27" w:history="1">
        <w:r w:rsidRPr="004C5018">
          <w:rPr>
            <w:rStyle w:val="Hyperlink"/>
            <w:b/>
            <w:sz w:val="22"/>
            <w:szCs w:val="22"/>
          </w:rPr>
          <w:t>Non-technical summary.</w:t>
        </w:r>
      </w:hyperlink>
      <w:r w:rsidRPr="004C5018">
        <w:rPr>
          <w:b/>
          <w:sz w:val="22"/>
          <w:szCs w:val="22"/>
        </w:rPr>
        <w:t xml:space="preserve"> </w:t>
      </w:r>
    </w:p>
    <w:p w14:paraId="74C1B291" w14:textId="77777777" w:rsidR="00C576D1" w:rsidRPr="004C5018" w:rsidRDefault="00C576D1" w:rsidP="0042688D">
      <w:pPr>
        <w:pStyle w:val="NormalWeb"/>
        <w:spacing w:before="0" w:beforeAutospacing="0" w:after="0" w:afterAutospacing="0"/>
        <w:ind w:left="540" w:hanging="540"/>
        <w:contextualSpacing/>
        <w:mirrorIndents/>
        <w:rPr>
          <w:rFonts w:ascii="Times New Roman" w:hAnsi="Times New Roman"/>
          <w:sz w:val="22"/>
          <w:szCs w:val="22"/>
        </w:rPr>
      </w:pPr>
    </w:p>
    <w:p w14:paraId="2EC37C34" w14:textId="423134C1" w:rsidR="00DB3DA5" w:rsidRPr="004C5018" w:rsidRDefault="00DB3DA5" w:rsidP="0042688D">
      <w:pPr>
        <w:pStyle w:val="NormalWeb"/>
        <w:spacing w:before="0" w:beforeAutospacing="0" w:after="0" w:afterAutospacing="0"/>
        <w:ind w:left="540" w:hanging="540"/>
        <w:contextualSpacing/>
        <w:mirrorIndents/>
        <w:rPr>
          <w:rFonts w:ascii="Times New Roman" w:hAnsi="Times New Roman"/>
          <w:sz w:val="22"/>
          <w:szCs w:val="22"/>
        </w:rPr>
      </w:pPr>
      <w:r w:rsidRPr="004C5018">
        <w:rPr>
          <w:rFonts w:ascii="Times New Roman" w:hAnsi="Times New Roman"/>
          <w:sz w:val="22"/>
          <w:szCs w:val="22"/>
        </w:rPr>
        <w:t xml:space="preserve">Fryer, Roland G., and Steven Levitt. 2004. “Understanding the Black-White Test Score Gap in the First Two Years </w:t>
      </w:r>
      <w:r w:rsidRPr="004C5018">
        <w:rPr>
          <w:rFonts w:ascii="Times New Roman" w:eastAsiaTheme="minorHAnsi" w:hAnsi="Times New Roman"/>
          <w:sz w:val="22"/>
          <w:szCs w:val="22"/>
        </w:rPr>
        <w:t xml:space="preserve">of School.” </w:t>
      </w:r>
      <w:r w:rsidRPr="004C5018">
        <w:rPr>
          <w:rFonts w:ascii="Times New Roman" w:eastAsiaTheme="minorHAnsi" w:hAnsi="Times New Roman"/>
          <w:i/>
          <w:sz w:val="22"/>
          <w:szCs w:val="22"/>
        </w:rPr>
        <w:t>Review of Economics and Statistics</w:t>
      </w:r>
      <w:r w:rsidRPr="004C5018">
        <w:rPr>
          <w:rFonts w:ascii="Times New Roman" w:eastAsiaTheme="minorHAnsi" w:hAnsi="Times New Roman"/>
          <w:sz w:val="22"/>
          <w:szCs w:val="22"/>
        </w:rPr>
        <w:t xml:space="preserve"> 86 (2): 447-464.</w:t>
      </w:r>
    </w:p>
    <w:p w14:paraId="1709B2F5" w14:textId="77777777" w:rsidR="00C576D1" w:rsidRPr="004C5018" w:rsidRDefault="00C576D1" w:rsidP="0042688D">
      <w:pPr>
        <w:autoSpaceDE w:val="0"/>
        <w:autoSpaceDN w:val="0"/>
        <w:adjustRightInd w:val="0"/>
        <w:ind w:left="540" w:hanging="540"/>
        <w:contextualSpacing/>
        <w:mirrorIndents/>
        <w:rPr>
          <w:rFonts w:eastAsiaTheme="minorHAnsi"/>
          <w:sz w:val="22"/>
          <w:szCs w:val="22"/>
        </w:rPr>
      </w:pPr>
    </w:p>
    <w:p w14:paraId="75ADAE4A" w14:textId="5B9EB507" w:rsidR="00192347" w:rsidRPr="004C5018" w:rsidRDefault="00192347" w:rsidP="0042688D">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 xml:space="preserve">Looney, Adam and Nicolas Turner. 2017. </w:t>
      </w:r>
      <w:r w:rsidR="002B184A" w:rsidRPr="004C5018">
        <w:rPr>
          <w:rFonts w:eastAsiaTheme="minorHAnsi"/>
          <w:sz w:val="22"/>
          <w:szCs w:val="22"/>
        </w:rPr>
        <w:t>“</w:t>
      </w:r>
      <w:hyperlink r:id="rId28" w:history="1">
        <w:r w:rsidRPr="004C5018">
          <w:rPr>
            <w:rStyle w:val="Hyperlink"/>
            <w:rFonts w:eastAsiaTheme="minorHAnsi"/>
            <w:sz w:val="22"/>
            <w:szCs w:val="22"/>
          </w:rPr>
          <w:t>Work and Opportunity Before and After Incarceration</w:t>
        </w:r>
      </w:hyperlink>
      <w:r w:rsidRPr="004C5018">
        <w:rPr>
          <w:rFonts w:eastAsiaTheme="minorHAnsi"/>
          <w:sz w:val="22"/>
          <w:szCs w:val="22"/>
        </w:rPr>
        <w:t>.</w:t>
      </w:r>
      <w:r w:rsidR="002B184A" w:rsidRPr="004C5018">
        <w:rPr>
          <w:rFonts w:eastAsiaTheme="minorHAnsi"/>
          <w:sz w:val="22"/>
          <w:szCs w:val="22"/>
        </w:rPr>
        <w:t>”</w:t>
      </w:r>
      <w:r w:rsidRPr="004C5018">
        <w:rPr>
          <w:rFonts w:eastAsiaTheme="minorHAnsi"/>
          <w:sz w:val="22"/>
          <w:szCs w:val="22"/>
        </w:rPr>
        <w:t xml:space="preserve"> Economic Studies at The Brookings Institute</w:t>
      </w:r>
      <w:r w:rsidR="002B184A" w:rsidRPr="004C5018">
        <w:rPr>
          <w:rFonts w:eastAsiaTheme="minorHAnsi"/>
          <w:sz w:val="22"/>
          <w:szCs w:val="22"/>
        </w:rPr>
        <w:t xml:space="preserve"> Technical Report</w:t>
      </w:r>
      <w:r w:rsidRPr="004C5018">
        <w:rPr>
          <w:rFonts w:eastAsiaTheme="minorHAnsi"/>
          <w:sz w:val="22"/>
          <w:szCs w:val="22"/>
        </w:rPr>
        <w:t>.</w:t>
      </w:r>
    </w:p>
    <w:p w14:paraId="50AB7B51" w14:textId="77777777" w:rsidR="00192347" w:rsidRPr="004C5018" w:rsidRDefault="00192347" w:rsidP="0042688D">
      <w:pPr>
        <w:autoSpaceDE w:val="0"/>
        <w:autoSpaceDN w:val="0"/>
        <w:adjustRightInd w:val="0"/>
        <w:ind w:left="540" w:hanging="540"/>
        <w:contextualSpacing/>
        <w:mirrorIndents/>
        <w:rPr>
          <w:rFonts w:eastAsiaTheme="minorHAnsi"/>
          <w:sz w:val="22"/>
          <w:szCs w:val="22"/>
        </w:rPr>
      </w:pPr>
    </w:p>
    <w:p w14:paraId="3527D69B" w14:textId="2F8DAC85" w:rsidR="00192347" w:rsidRPr="004C5018" w:rsidRDefault="00192347" w:rsidP="0042688D">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 xml:space="preserve">Pager, </w:t>
      </w:r>
      <w:proofErr w:type="spellStart"/>
      <w:r w:rsidRPr="004C5018">
        <w:rPr>
          <w:rFonts w:eastAsiaTheme="minorHAnsi"/>
          <w:sz w:val="22"/>
          <w:szCs w:val="22"/>
        </w:rPr>
        <w:t>Devah</w:t>
      </w:r>
      <w:proofErr w:type="spellEnd"/>
      <w:r w:rsidRPr="004C5018">
        <w:rPr>
          <w:rFonts w:eastAsiaTheme="minorHAnsi"/>
          <w:sz w:val="22"/>
          <w:szCs w:val="22"/>
        </w:rPr>
        <w:t xml:space="preserve">. 2003. “The Mark of a Criminal Record.” </w:t>
      </w:r>
      <w:r w:rsidRPr="004C5018">
        <w:rPr>
          <w:rFonts w:eastAsiaTheme="minorHAnsi"/>
          <w:i/>
          <w:sz w:val="22"/>
          <w:szCs w:val="22"/>
        </w:rPr>
        <w:t>American Journal of Sociology</w:t>
      </w:r>
      <w:r w:rsidRPr="004C5018">
        <w:rPr>
          <w:rFonts w:eastAsiaTheme="minorHAnsi"/>
          <w:sz w:val="22"/>
          <w:szCs w:val="22"/>
        </w:rPr>
        <w:t xml:space="preserve"> 108(5): 937-975.</w:t>
      </w:r>
    </w:p>
    <w:p w14:paraId="7E07E4CB" w14:textId="77777777" w:rsidR="00192347" w:rsidRPr="004C5018" w:rsidRDefault="00192347" w:rsidP="0042688D">
      <w:pPr>
        <w:ind w:left="480" w:hanging="480"/>
        <w:contextualSpacing/>
        <w:mirrorIndents/>
        <w:rPr>
          <w:i/>
          <w:color w:val="000000"/>
          <w:sz w:val="22"/>
          <w:szCs w:val="22"/>
        </w:rPr>
      </w:pPr>
    </w:p>
    <w:p w14:paraId="71B3888B" w14:textId="5B5C4675" w:rsidR="00C04C45" w:rsidRPr="004C5018" w:rsidRDefault="00C04C45" w:rsidP="0042688D">
      <w:pPr>
        <w:ind w:left="480" w:hanging="480"/>
        <w:contextualSpacing/>
        <w:mirrorIndents/>
        <w:rPr>
          <w:b/>
          <w:i/>
          <w:sz w:val="22"/>
          <w:szCs w:val="22"/>
        </w:rPr>
      </w:pPr>
      <w:r w:rsidRPr="004C5018">
        <w:rPr>
          <w:i/>
          <w:color w:val="000000"/>
          <w:sz w:val="22"/>
          <w:szCs w:val="22"/>
        </w:rPr>
        <w:t>Discrimination</w:t>
      </w:r>
      <w:r w:rsidR="00192347" w:rsidRPr="004C5018">
        <w:rPr>
          <w:i/>
          <w:color w:val="000000"/>
          <w:sz w:val="22"/>
          <w:szCs w:val="22"/>
        </w:rPr>
        <w:t xml:space="preserve"> and Bias</w:t>
      </w:r>
    </w:p>
    <w:p w14:paraId="22671043" w14:textId="77777777" w:rsidR="00192347" w:rsidRPr="004C5018" w:rsidRDefault="00192347" w:rsidP="0042688D">
      <w:pPr>
        <w:ind w:left="480" w:hanging="480"/>
        <w:contextualSpacing/>
        <w:mirrorIndents/>
        <w:rPr>
          <w:sz w:val="22"/>
          <w:szCs w:val="22"/>
        </w:rPr>
      </w:pPr>
    </w:p>
    <w:p w14:paraId="2F53B38D" w14:textId="5CBB8EED" w:rsidR="00DB3DA5" w:rsidRPr="004C5018" w:rsidRDefault="00DB3DA5" w:rsidP="0042688D">
      <w:pPr>
        <w:ind w:left="480" w:hanging="480"/>
        <w:contextualSpacing/>
        <w:mirrorIndents/>
        <w:rPr>
          <w:sz w:val="22"/>
          <w:szCs w:val="22"/>
        </w:rPr>
      </w:pPr>
      <w:r w:rsidRPr="004C5018">
        <w:rPr>
          <w:sz w:val="22"/>
          <w:szCs w:val="22"/>
        </w:rPr>
        <w:t xml:space="preserve">Abrams, David, Marianne Bertrand, and </w:t>
      </w:r>
      <w:proofErr w:type="spellStart"/>
      <w:r w:rsidRPr="004C5018">
        <w:rPr>
          <w:sz w:val="22"/>
          <w:szCs w:val="22"/>
        </w:rPr>
        <w:t>Sendhil</w:t>
      </w:r>
      <w:proofErr w:type="spellEnd"/>
      <w:r w:rsidRPr="004C5018">
        <w:rPr>
          <w:sz w:val="22"/>
          <w:szCs w:val="22"/>
        </w:rPr>
        <w:t xml:space="preserve"> Mullainathan. 2012. “Do Judges Vary in Their Treatment of Race?” </w:t>
      </w:r>
      <w:r w:rsidRPr="004C5018">
        <w:rPr>
          <w:i/>
          <w:iCs/>
          <w:sz w:val="22"/>
          <w:szCs w:val="22"/>
        </w:rPr>
        <w:t>Journal of Legal Studies</w:t>
      </w:r>
      <w:r w:rsidRPr="004C5018">
        <w:rPr>
          <w:sz w:val="22"/>
          <w:szCs w:val="22"/>
        </w:rPr>
        <w:t xml:space="preserve"> 41 (2): 347–83.</w:t>
      </w:r>
    </w:p>
    <w:p w14:paraId="1622C15C" w14:textId="77777777" w:rsidR="0042688D" w:rsidRPr="004C5018" w:rsidRDefault="0042688D" w:rsidP="0042688D">
      <w:pPr>
        <w:ind w:left="480" w:hanging="480"/>
        <w:contextualSpacing/>
        <w:mirrorIndents/>
        <w:rPr>
          <w:b/>
          <w:sz w:val="22"/>
          <w:szCs w:val="22"/>
        </w:rPr>
      </w:pPr>
    </w:p>
    <w:p w14:paraId="3052AD46" w14:textId="692045CD" w:rsidR="000E1A71" w:rsidRPr="004C5018" w:rsidRDefault="000E1A71" w:rsidP="0042688D">
      <w:pPr>
        <w:ind w:left="480" w:hanging="480"/>
        <w:contextualSpacing/>
        <w:mirrorIndents/>
        <w:rPr>
          <w:b/>
          <w:sz w:val="22"/>
          <w:szCs w:val="22"/>
        </w:rPr>
      </w:pPr>
      <w:r w:rsidRPr="004C5018">
        <w:rPr>
          <w:b/>
          <w:sz w:val="22"/>
          <w:szCs w:val="22"/>
        </w:rPr>
        <w:t xml:space="preserve">Bertrand, Marianne, and </w:t>
      </w:r>
      <w:proofErr w:type="spellStart"/>
      <w:r w:rsidRPr="004C5018">
        <w:rPr>
          <w:b/>
          <w:sz w:val="22"/>
          <w:szCs w:val="22"/>
        </w:rPr>
        <w:t>Sendhil</w:t>
      </w:r>
      <w:proofErr w:type="spellEnd"/>
      <w:r w:rsidRPr="004C5018">
        <w:rPr>
          <w:b/>
          <w:sz w:val="22"/>
          <w:szCs w:val="22"/>
        </w:rPr>
        <w:t xml:space="preserve"> Mullainathan. 2004. “Are Emily and Greg More Employable Than Lakisha and Jamal? A Field Experiment on Labor Market Discrimination.” </w:t>
      </w:r>
      <w:r w:rsidRPr="004C5018">
        <w:rPr>
          <w:b/>
          <w:i/>
          <w:iCs/>
          <w:sz w:val="22"/>
          <w:szCs w:val="22"/>
        </w:rPr>
        <w:t>American Economic Review</w:t>
      </w:r>
      <w:r w:rsidRPr="004C5018">
        <w:rPr>
          <w:b/>
          <w:sz w:val="22"/>
          <w:szCs w:val="22"/>
        </w:rPr>
        <w:t xml:space="preserve"> 94 (4): 991–1013. </w:t>
      </w:r>
    </w:p>
    <w:p w14:paraId="16422E0E" w14:textId="77777777" w:rsidR="0042688D" w:rsidRPr="004C5018" w:rsidRDefault="0042688D" w:rsidP="0042688D">
      <w:pPr>
        <w:autoSpaceDE w:val="0"/>
        <w:autoSpaceDN w:val="0"/>
        <w:adjustRightInd w:val="0"/>
        <w:ind w:left="450" w:hanging="450"/>
        <w:contextualSpacing/>
        <w:mirrorIndents/>
        <w:rPr>
          <w:rFonts w:eastAsiaTheme="minorHAnsi"/>
          <w:sz w:val="22"/>
          <w:szCs w:val="22"/>
        </w:rPr>
      </w:pPr>
    </w:p>
    <w:p w14:paraId="6E94B4D7" w14:textId="59EA8D79" w:rsidR="0042688D" w:rsidRPr="004C5018" w:rsidRDefault="0042688D" w:rsidP="0042688D">
      <w:pPr>
        <w:autoSpaceDE w:val="0"/>
        <w:autoSpaceDN w:val="0"/>
        <w:adjustRightInd w:val="0"/>
        <w:ind w:left="450" w:hanging="450"/>
        <w:contextualSpacing/>
        <w:mirrorIndents/>
        <w:rPr>
          <w:rFonts w:eastAsiaTheme="minorHAnsi"/>
          <w:sz w:val="22"/>
          <w:szCs w:val="22"/>
        </w:rPr>
      </w:pPr>
      <w:proofErr w:type="spellStart"/>
      <w:r w:rsidRPr="004C5018">
        <w:rPr>
          <w:rFonts w:eastAsiaTheme="minorHAnsi"/>
          <w:sz w:val="22"/>
          <w:szCs w:val="22"/>
        </w:rPr>
        <w:t>Eberhardt</w:t>
      </w:r>
      <w:proofErr w:type="spellEnd"/>
      <w:r w:rsidRPr="004C5018">
        <w:rPr>
          <w:rFonts w:eastAsiaTheme="minorHAnsi"/>
          <w:sz w:val="22"/>
          <w:szCs w:val="22"/>
        </w:rPr>
        <w:t xml:space="preserve">, Jennifer, Phillip </w:t>
      </w:r>
      <w:proofErr w:type="spellStart"/>
      <w:r w:rsidRPr="004C5018">
        <w:rPr>
          <w:rFonts w:eastAsiaTheme="minorHAnsi"/>
          <w:sz w:val="22"/>
          <w:szCs w:val="22"/>
        </w:rPr>
        <w:t>Atiba</w:t>
      </w:r>
      <w:proofErr w:type="spellEnd"/>
      <w:r w:rsidRPr="004C5018">
        <w:rPr>
          <w:rFonts w:eastAsiaTheme="minorHAnsi"/>
          <w:sz w:val="22"/>
          <w:szCs w:val="22"/>
        </w:rPr>
        <w:t xml:space="preserve"> Goff, Valerie J. Purdie, and Paul G. Davies. 2004. “Seeing Black: Race, Crime, and Visual Processing.” </w:t>
      </w:r>
      <w:r w:rsidRPr="004C5018">
        <w:rPr>
          <w:rFonts w:eastAsiaTheme="minorHAnsi"/>
          <w:i/>
          <w:sz w:val="22"/>
          <w:szCs w:val="22"/>
        </w:rPr>
        <w:t>Journal of Personality and Social Psychology</w:t>
      </w:r>
      <w:r w:rsidRPr="004C5018">
        <w:rPr>
          <w:rFonts w:eastAsiaTheme="minorHAnsi"/>
          <w:sz w:val="22"/>
          <w:szCs w:val="22"/>
        </w:rPr>
        <w:t xml:space="preserve"> 87(6): 876-893. </w:t>
      </w:r>
    </w:p>
    <w:p w14:paraId="5ED86439" w14:textId="77777777" w:rsidR="00C576D1" w:rsidRPr="004C5018" w:rsidRDefault="00C576D1"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58217028" w14:textId="6A23148D" w:rsidR="00DB3DA5" w:rsidRPr="004C5018" w:rsidRDefault="00DB3DA5"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Edelman, Benjamin, Michael Luca, and Dan Svirsky. 2017. “Racial Discrimination in the Sharing Economy: Evidence from a Field Experiment.” </w:t>
      </w:r>
      <w:r w:rsidRPr="004C5018">
        <w:rPr>
          <w:rFonts w:ascii="Times New Roman" w:eastAsiaTheme="minorHAnsi" w:hAnsi="Times New Roman"/>
          <w:i/>
          <w:iCs/>
          <w:sz w:val="22"/>
          <w:szCs w:val="22"/>
        </w:rPr>
        <w:t>American Economic Journal: Applied Economics</w:t>
      </w:r>
      <w:r w:rsidRPr="004C5018">
        <w:rPr>
          <w:rFonts w:ascii="Times New Roman" w:eastAsiaTheme="minorHAnsi" w:hAnsi="Times New Roman"/>
          <w:sz w:val="22"/>
          <w:szCs w:val="22"/>
        </w:rPr>
        <w:t xml:space="preserve"> 9 (2): 1–22.</w:t>
      </w:r>
    </w:p>
    <w:p w14:paraId="798A0A34" w14:textId="77777777" w:rsidR="00C576D1" w:rsidRPr="004C5018" w:rsidRDefault="00C576D1"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03327272" w14:textId="2E89DA57" w:rsidR="00DB3DA5" w:rsidRPr="004C5018" w:rsidRDefault="00DB3DA5"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Glover, Dylan, Amanda </w:t>
      </w:r>
      <w:proofErr w:type="spellStart"/>
      <w:r w:rsidRPr="004C5018">
        <w:rPr>
          <w:rFonts w:ascii="Times New Roman" w:eastAsiaTheme="minorHAnsi" w:hAnsi="Times New Roman"/>
          <w:sz w:val="22"/>
          <w:szCs w:val="22"/>
        </w:rPr>
        <w:t>Pallais</w:t>
      </w:r>
      <w:proofErr w:type="spellEnd"/>
      <w:r w:rsidRPr="004C5018">
        <w:rPr>
          <w:rFonts w:ascii="Times New Roman" w:eastAsiaTheme="minorHAnsi" w:hAnsi="Times New Roman"/>
          <w:sz w:val="22"/>
          <w:szCs w:val="22"/>
        </w:rPr>
        <w:t xml:space="preserve">, and William </w:t>
      </w:r>
      <w:proofErr w:type="spellStart"/>
      <w:r w:rsidRPr="004C5018">
        <w:rPr>
          <w:rFonts w:ascii="Times New Roman" w:eastAsiaTheme="minorHAnsi" w:hAnsi="Times New Roman"/>
          <w:sz w:val="22"/>
          <w:szCs w:val="22"/>
        </w:rPr>
        <w:t>Pariente</w:t>
      </w:r>
      <w:proofErr w:type="spellEnd"/>
      <w:r w:rsidRPr="004C5018">
        <w:rPr>
          <w:rFonts w:ascii="Times New Roman" w:eastAsiaTheme="minorHAnsi" w:hAnsi="Times New Roman"/>
          <w:sz w:val="22"/>
          <w:szCs w:val="22"/>
        </w:rPr>
        <w:t xml:space="preserve">. 2017. “Discrimination as a Self-Fulfilling Prophecy: Evidence from French Grocery Stores.” </w:t>
      </w:r>
      <w:r w:rsidRPr="004C5018">
        <w:rPr>
          <w:rFonts w:ascii="Times New Roman" w:eastAsiaTheme="minorHAnsi" w:hAnsi="Times New Roman"/>
          <w:i/>
          <w:sz w:val="22"/>
          <w:szCs w:val="22"/>
        </w:rPr>
        <w:t>Quarterly Journal of Economics</w:t>
      </w:r>
      <w:r w:rsidRPr="004C5018">
        <w:rPr>
          <w:rFonts w:ascii="Times New Roman" w:eastAsiaTheme="minorHAnsi" w:hAnsi="Times New Roman"/>
          <w:sz w:val="22"/>
          <w:szCs w:val="22"/>
        </w:rPr>
        <w:t xml:space="preserve"> 132 (3): 1219-1260.</w:t>
      </w:r>
    </w:p>
    <w:p w14:paraId="51E081C8" w14:textId="77777777" w:rsidR="00C576D1" w:rsidRPr="004C5018" w:rsidRDefault="00C576D1" w:rsidP="0042688D">
      <w:pPr>
        <w:autoSpaceDE w:val="0"/>
        <w:autoSpaceDN w:val="0"/>
        <w:adjustRightInd w:val="0"/>
        <w:contextualSpacing/>
        <w:mirrorIndents/>
        <w:rPr>
          <w:rFonts w:eastAsiaTheme="minorHAnsi"/>
          <w:sz w:val="22"/>
          <w:szCs w:val="22"/>
        </w:rPr>
      </w:pPr>
    </w:p>
    <w:p w14:paraId="47F3BA09" w14:textId="60F9BB4E" w:rsidR="00797775" w:rsidRPr="004C5018" w:rsidRDefault="00A370AB" w:rsidP="00797775">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Stephens-</w:t>
      </w:r>
      <w:proofErr w:type="spellStart"/>
      <w:r w:rsidRPr="004C5018">
        <w:rPr>
          <w:rFonts w:eastAsiaTheme="minorHAnsi"/>
          <w:sz w:val="22"/>
          <w:szCs w:val="22"/>
        </w:rPr>
        <w:t>Davidowitz</w:t>
      </w:r>
      <w:proofErr w:type="spellEnd"/>
      <w:r w:rsidRPr="004C5018">
        <w:rPr>
          <w:rFonts w:eastAsiaTheme="minorHAnsi"/>
          <w:sz w:val="22"/>
          <w:szCs w:val="22"/>
        </w:rPr>
        <w:t>, S</w:t>
      </w:r>
      <w:r w:rsidR="0042688D" w:rsidRPr="004C5018">
        <w:rPr>
          <w:rFonts w:eastAsiaTheme="minorHAnsi"/>
          <w:sz w:val="22"/>
          <w:szCs w:val="22"/>
        </w:rPr>
        <w:t xml:space="preserve">eth. </w:t>
      </w:r>
      <w:r w:rsidRPr="004C5018">
        <w:rPr>
          <w:rFonts w:eastAsiaTheme="minorHAnsi"/>
          <w:sz w:val="22"/>
          <w:szCs w:val="22"/>
        </w:rPr>
        <w:t xml:space="preserve">2014. </w:t>
      </w:r>
      <w:r w:rsidR="0042688D" w:rsidRPr="004C5018">
        <w:rPr>
          <w:rFonts w:eastAsiaTheme="minorHAnsi"/>
          <w:sz w:val="22"/>
          <w:szCs w:val="22"/>
        </w:rPr>
        <w:t>“</w:t>
      </w:r>
      <w:r w:rsidRPr="004C5018">
        <w:rPr>
          <w:rFonts w:eastAsiaTheme="minorHAnsi"/>
          <w:sz w:val="22"/>
          <w:szCs w:val="22"/>
        </w:rPr>
        <w:t>The Cost of Racial Animus on a Black Candidate: Evidence using Google Search Data.</w:t>
      </w:r>
      <w:r w:rsidR="0042688D" w:rsidRPr="004C5018">
        <w:rPr>
          <w:rFonts w:eastAsiaTheme="minorHAnsi"/>
          <w:sz w:val="22"/>
          <w:szCs w:val="22"/>
        </w:rPr>
        <w:t>”</w:t>
      </w:r>
      <w:r w:rsidRPr="004C5018">
        <w:rPr>
          <w:rFonts w:eastAsiaTheme="minorHAnsi"/>
          <w:sz w:val="22"/>
          <w:szCs w:val="22"/>
        </w:rPr>
        <w:t xml:space="preserve"> </w:t>
      </w:r>
      <w:r w:rsidRPr="004C5018">
        <w:rPr>
          <w:rFonts w:eastAsiaTheme="minorHAnsi"/>
          <w:i/>
          <w:sz w:val="22"/>
          <w:szCs w:val="22"/>
        </w:rPr>
        <w:t>Journal of Public Economics</w:t>
      </w:r>
      <w:r w:rsidRPr="004C5018">
        <w:rPr>
          <w:rFonts w:eastAsiaTheme="minorHAnsi"/>
          <w:sz w:val="22"/>
          <w:szCs w:val="22"/>
        </w:rPr>
        <w:t xml:space="preserve"> 118, 26</w:t>
      </w:r>
      <w:r w:rsidR="0042688D" w:rsidRPr="004C5018">
        <w:rPr>
          <w:rFonts w:eastAsiaTheme="minorHAnsi"/>
          <w:sz w:val="22"/>
          <w:szCs w:val="22"/>
        </w:rPr>
        <w:t>-</w:t>
      </w:r>
      <w:r w:rsidRPr="004C5018">
        <w:rPr>
          <w:rFonts w:eastAsiaTheme="minorHAnsi"/>
          <w:sz w:val="22"/>
          <w:szCs w:val="22"/>
        </w:rPr>
        <w:t>40.</w:t>
      </w:r>
    </w:p>
    <w:p w14:paraId="2A091618" w14:textId="77777777" w:rsidR="000E1A71" w:rsidRPr="004C5018" w:rsidRDefault="000E1A71" w:rsidP="0042688D">
      <w:pPr>
        <w:contextualSpacing/>
        <w:mirrorIndents/>
        <w:jc w:val="center"/>
        <w:rPr>
          <w:sz w:val="22"/>
          <w:szCs w:val="22"/>
          <w:u w:val="single"/>
        </w:rPr>
      </w:pPr>
      <w:r w:rsidRPr="004C5018">
        <w:rPr>
          <w:sz w:val="22"/>
          <w:szCs w:val="22"/>
          <w:u w:val="single"/>
        </w:rPr>
        <w:lastRenderedPageBreak/>
        <w:t>Part IV: Health</w:t>
      </w:r>
    </w:p>
    <w:p w14:paraId="39A159EE" w14:textId="40EB0008" w:rsidR="000E1A71" w:rsidRPr="004C5018" w:rsidRDefault="000E1A71" w:rsidP="0042688D">
      <w:pPr>
        <w:contextualSpacing/>
        <w:mirrorIndents/>
        <w:rPr>
          <w:sz w:val="22"/>
          <w:szCs w:val="22"/>
        </w:rPr>
      </w:pPr>
    </w:p>
    <w:p w14:paraId="126CFB71" w14:textId="17139628" w:rsidR="00D3280C" w:rsidRPr="004C5018" w:rsidRDefault="00D3280C" w:rsidP="00D3280C">
      <w:pPr>
        <w:rPr>
          <w:i/>
          <w:color w:val="000000"/>
          <w:sz w:val="22"/>
          <w:szCs w:val="22"/>
        </w:rPr>
      </w:pPr>
      <w:r w:rsidRPr="004C5018">
        <w:rPr>
          <w:i/>
          <w:color w:val="000000"/>
          <w:sz w:val="22"/>
          <w:szCs w:val="22"/>
        </w:rPr>
        <w:t>Improving Health Outcomes</w:t>
      </w:r>
    </w:p>
    <w:p w14:paraId="36A70802" w14:textId="77777777" w:rsidR="00D3280C" w:rsidRPr="004C5018" w:rsidRDefault="00D3280C" w:rsidP="0042688D">
      <w:pPr>
        <w:contextualSpacing/>
        <w:mirrorIndents/>
        <w:rPr>
          <w:sz w:val="22"/>
          <w:szCs w:val="22"/>
        </w:rPr>
      </w:pPr>
    </w:p>
    <w:p w14:paraId="32FBA47B" w14:textId="77777777" w:rsidR="00D3280C" w:rsidRPr="004C5018" w:rsidRDefault="00D3280C" w:rsidP="00D3280C">
      <w:pPr>
        <w:ind w:left="480" w:hanging="480"/>
        <w:contextualSpacing/>
        <w:mirrorIndents/>
        <w:rPr>
          <w:sz w:val="22"/>
          <w:szCs w:val="22"/>
        </w:rPr>
      </w:pPr>
      <w:proofErr w:type="spellStart"/>
      <w:r w:rsidRPr="004C5018">
        <w:rPr>
          <w:sz w:val="22"/>
          <w:szCs w:val="22"/>
        </w:rPr>
        <w:t>Allcott</w:t>
      </w:r>
      <w:proofErr w:type="spellEnd"/>
      <w:r w:rsidRPr="004C5018">
        <w:rPr>
          <w:sz w:val="22"/>
          <w:szCs w:val="22"/>
        </w:rPr>
        <w:t xml:space="preserve">, Hunt, Rebecca Diamond, Jean-Pierre </w:t>
      </w:r>
      <w:proofErr w:type="spellStart"/>
      <w:r w:rsidRPr="004C5018">
        <w:rPr>
          <w:sz w:val="22"/>
          <w:szCs w:val="22"/>
        </w:rPr>
        <w:t>Dubé</w:t>
      </w:r>
      <w:proofErr w:type="spellEnd"/>
      <w:r w:rsidRPr="004C5018">
        <w:rPr>
          <w:sz w:val="22"/>
          <w:szCs w:val="22"/>
        </w:rPr>
        <w:t xml:space="preserve">, Jessie </w:t>
      </w:r>
      <w:proofErr w:type="spellStart"/>
      <w:r w:rsidRPr="004C5018">
        <w:rPr>
          <w:sz w:val="22"/>
          <w:szCs w:val="22"/>
        </w:rPr>
        <w:t>Handbury</w:t>
      </w:r>
      <w:proofErr w:type="spellEnd"/>
      <w:r w:rsidRPr="004C5018">
        <w:rPr>
          <w:sz w:val="22"/>
          <w:szCs w:val="22"/>
        </w:rPr>
        <w:t xml:space="preserve">, Ilya </w:t>
      </w:r>
      <w:proofErr w:type="spellStart"/>
      <w:r w:rsidRPr="004C5018">
        <w:rPr>
          <w:sz w:val="22"/>
          <w:szCs w:val="22"/>
        </w:rPr>
        <w:t>Rahkovsky</w:t>
      </w:r>
      <w:proofErr w:type="spellEnd"/>
      <w:r w:rsidRPr="004C5018">
        <w:rPr>
          <w:sz w:val="22"/>
          <w:szCs w:val="22"/>
        </w:rPr>
        <w:t>, and Molly Schnell. 2018. “Food Deserts and the Causes of Nutritional Inequality.” NBER Working Paper No. 24094.</w:t>
      </w:r>
    </w:p>
    <w:p w14:paraId="4323F164" w14:textId="77777777" w:rsidR="00D3280C" w:rsidRPr="004C5018" w:rsidRDefault="00D3280C" w:rsidP="00D3280C">
      <w:pPr>
        <w:ind w:left="480" w:hanging="480"/>
        <w:contextualSpacing/>
        <w:mirrorIndents/>
        <w:rPr>
          <w:sz w:val="22"/>
          <w:szCs w:val="22"/>
        </w:rPr>
      </w:pPr>
    </w:p>
    <w:p w14:paraId="7956688D" w14:textId="7AE1CA89" w:rsidR="00D3280C" w:rsidRPr="004C5018" w:rsidRDefault="00D3280C" w:rsidP="00D3280C">
      <w:pPr>
        <w:ind w:left="480" w:hanging="480"/>
        <w:contextualSpacing/>
        <w:mirrorIndents/>
        <w:rPr>
          <w:sz w:val="22"/>
          <w:szCs w:val="22"/>
        </w:rPr>
      </w:pPr>
      <w:r w:rsidRPr="004C5018">
        <w:rPr>
          <w:sz w:val="22"/>
          <w:szCs w:val="22"/>
        </w:rPr>
        <w:t>Bruich, Gregory A. 2014. “The effect of SNAP benefits on household expenditures and consumption: New evidence from scanner data and the November 2013 benefit cuts.” Harvard University working paper.</w:t>
      </w:r>
    </w:p>
    <w:p w14:paraId="2FA1256B" w14:textId="77777777"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sz w:val="22"/>
          <w:szCs w:val="22"/>
        </w:rPr>
      </w:pPr>
    </w:p>
    <w:p w14:paraId="5A4A347A" w14:textId="77777777" w:rsidR="006C5E63" w:rsidRPr="00A3385F" w:rsidRDefault="006C5E63" w:rsidP="006C5E63">
      <w:pPr>
        <w:pStyle w:val="NormalWeb"/>
        <w:spacing w:before="0" w:beforeAutospacing="0" w:after="0" w:afterAutospacing="0"/>
        <w:ind w:left="475" w:hanging="475"/>
        <w:contextualSpacing/>
        <w:mirrorIndents/>
        <w:rPr>
          <w:rFonts w:ascii="Times New Roman" w:hAnsi="Times New Roman"/>
          <w:sz w:val="22"/>
          <w:szCs w:val="22"/>
        </w:rPr>
      </w:pPr>
      <w:proofErr w:type="spellStart"/>
      <w:r w:rsidRPr="004C5018">
        <w:rPr>
          <w:rFonts w:ascii="Times New Roman" w:hAnsi="Times New Roman"/>
          <w:sz w:val="22"/>
          <w:szCs w:val="22"/>
        </w:rPr>
        <w:t>Chetty</w:t>
      </w:r>
      <w:proofErr w:type="spellEnd"/>
      <w:r w:rsidRPr="004C5018">
        <w:rPr>
          <w:rFonts w:ascii="Times New Roman" w:hAnsi="Times New Roman"/>
          <w:sz w:val="22"/>
          <w:szCs w:val="22"/>
        </w:rPr>
        <w:t xml:space="preserve">, Raj, Michael </w:t>
      </w:r>
      <w:proofErr w:type="spellStart"/>
      <w:r w:rsidRPr="004C5018">
        <w:rPr>
          <w:rFonts w:ascii="Times New Roman" w:hAnsi="Times New Roman"/>
          <w:sz w:val="22"/>
          <w:szCs w:val="22"/>
        </w:rPr>
        <w:t>Stepner</w:t>
      </w:r>
      <w:proofErr w:type="spellEnd"/>
      <w:r w:rsidRPr="004C5018">
        <w:rPr>
          <w:rFonts w:ascii="Times New Roman" w:hAnsi="Times New Roman"/>
          <w:sz w:val="22"/>
          <w:szCs w:val="22"/>
        </w:rPr>
        <w:t xml:space="preserve">, Sarah Abraham, Shelby Lin, Benjamin Scuderi, Nicholas Turner, Augustin Bergeron, and David Cutler. 2016. “The Association Between Income and Life Expectancy in the United States, 2001-2014.” </w:t>
      </w:r>
      <w:r w:rsidRPr="004C5018">
        <w:rPr>
          <w:rFonts w:ascii="Times New Roman" w:hAnsi="Times New Roman"/>
          <w:i/>
          <w:iCs/>
          <w:sz w:val="22"/>
          <w:szCs w:val="22"/>
        </w:rPr>
        <w:t>Journal of the American Medical Association</w:t>
      </w:r>
      <w:r w:rsidRPr="004C5018">
        <w:rPr>
          <w:rFonts w:ascii="Times New Roman" w:hAnsi="Times New Roman"/>
          <w:sz w:val="22"/>
          <w:szCs w:val="22"/>
        </w:rPr>
        <w:t xml:space="preserve"> 315 (16): 1750–66. </w:t>
      </w:r>
      <w:hyperlink r:id="rId29" w:history="1">
        <w:r w:rsidRPr="004C5018">
          <w:rPr>
            <w:rStyle w:val="Hyperlink"/>
            <w:rFonts w:ascii="Times New Roman" w:hAnsi="Times New Roman"/>
            <w:sz w:val="22"/>
            <w:szCs w:val="22"/>
          </w:rPr>
          <w:t>Non-technical summary</w:t>
        </w:r>
      </w:hyperlink>
      <w:r>
        <w:rPr>
          <w:rFonts w:ascii="Times New Roman" w:hAnsi="Times New Roman"/>
          <w:sz w:val="22"/>
          <w:szCs w:val="22"/>
        </w:rPr>
        <w:t xml:space="preserve">, </w:t>
      </w:r>
      <w:hyperlink r:id="rId30" w:history="1">
        <w:r w:rsidRPr="009F583D">
          <w:rPr>
            <w:rStyle w:val="Hyperlink"/>
            <w:rFonts w:ascii="Times New Roman" w:hAnsi="Times New Roman"/>
            <w:sz w:val="22"/>
            <w:szCs w:val="22"/>
          </w:rPr>
          <w:t>podcast discussion</w:t>
        </w:r>
      </w:hyperlink>
      <w:r>
        <w:rPr>
          <w:rFonts w:ascii="Times New Roman" w:hAnsi="Times New Roman"/>
          <w:sz w:val="22"/>
          <w:szCs w:val="22"/>
        </w:rPr>
        <w:t xml:space="preserve"> with Raj Chetty and Angus Deaton, </w:t>
      </w:r>
      <w:r w:rsidRPr="004C5018">
        <w:rPr>
          <w:rFonts w:ascii="Times New Roman" w:hAnsi="Times New Roman"/>
          <w:sz w:val="22"/>
          <w:szCs w:val="22"/>
        </w:rPr>
        <w:t xml:space="preserve">and </w:t>
      </w:r>
      <w:hyperlink r:id="rId31" w:history="1">
        <w:r w:rsidRPr="004C5018">
          <w:rPr>
            <w:rStyle w:val="Hyperlink"/>
            <w:rFonts w:ascii="Times New Roman" w:hAnsi="Times New Roman"/>
            <w:sz w:val="22"/>
            <w:szCs w:val="22"/>
          </w:rPr>
          <w:t>animated video</w:t>
        </w:r>
      </w:hyperlink>
      <w:r w:rsidRPr="004C5018">
        <w:rPr>
          <w:rFonts w:ascii="Times New Roman" w:hAnsi="Times New Roman"/>
          <w:sz w:val="22"/>
          <w:szCs w:val="22"/>
        </w:rPr>
        <w:t>.</w:t>
      </w:r>
    </w:p>
    <w:p w14:paraId="0C2D82D5" w14:textId="77777777" w:rsidR="00C576D1" w:rsidRPr="004C5018" w:rsidRDefault="00C576D1" w:rsidP="0042688D">
      <w:pPr>
        <w:ind w:left="480" w:hanging="480"/>
        <w:contextualSpacing/>
        <w:mirrorIndents/>
        <w:rPr>
          <w:b/>
          <w:sz w:val="22"/>
          <w:szCs w:val="22"/>
        </w:rPr>
      </w:pPr>
    </w:p>
    <w:p w14:paraId="2C1A893C" w14:textId="4900DFBF" w:rsidR="000E1A71" w:rsidRPr="004C5018" w:rsidRDefault="000E1A71" w:rsidP="0042688D">
      <w:pPr>
        <w:ind w:left="480" w:hanging="480"/>
        <w:contextualSpacing/>
        <w:mirrorIndents/>
        <w:rPr>
          <w:sz w:val="22"/>
          <w:szCs w:val="22"/>
        </w:rPr>
      </w:pPr>
      <w:r w:rsidRPr="004C5018">
        <w:rPr>
          <w:sz w:val="22"/>
          <w:szCs w:val="22"/>
        </w:rPr>
        <w:t xml:space="preserve">Hastings, Justine and Jesse Shapiro. 2018. “How are SNAP benefits spent? Evidence from a retail panel.” </w:t>
      </w:r>
      <w:r w:rsidRPr="004C5018">
        <w:rPr>
          <w:i/>
          <w:sz w:val="22"/>
          <w:szCs w:val="22"/>
        </w:rPr>
        <w:t>American Economic Review</w:t>
      </w:r>
      <w:r w:rsidRPr="004C5018">
        <w:rPr>
          <w:sz w:val="22"/>
          <w:szCs w:val="22"/>
        </w:rPr>
        <w:t xml:space="preserve"> 108(12): 3493–3540.</w:t>
      </w:r>
    </w:p>
    <w:p w14:paraId="1C8A6289" w14:textId="77777777" w:rsidR="00C576D1" w:rsidRPr="004C5018" w:rsidRDefault="00C576D1" w:rsidP="0042688D">
      <w:pPr>
        <w:ind w:left="480" w:hanging="480"/>
        <w:contextualSpacing/>
        <w:mirrorIndents/>
        <w:rPr>
          <w:sz w:val="22"/>
          <w:szCs w:val="22"/>
        </w:rPr>
      </w:pPr>
    </w:p>
    <w:p w14:paraId="110F8AF5" w14:textId="3279FB00" w:rsidR="000E1A71" w:rsidRPr="004C5018" w:rsidRDefault="000E1A71" w:rsidP="0042688D">
      <w:pPr>
        <w:ind w:left="480" w:hanging="480"/>
        <w:contextualSpacing/>
        <w:mirrorIndents/>
        <w:rPr>
          <w:sz w:val="22"/>
          <w:szCs w:val="22"/>
        </w:rPr>
      </w:pPr>
      <w:r w:rsidRPr="004C5018">
        <w:rPr>
          <w:sz w:val="22"/>
          <w:szCs w:val="22"/>
        </w:rPr>
        <w:t xml:space="preserve">Hastings, Justine, Ryan Kessler, and Jesse Shapiro. 2018. “The effect of SNAP on the composition of purchased foods: Evidence and implications.” </w:t>
      </w:r>
      <w:r w:rsidR="00086B39" w:rsidRPr="004C5018">
        <w:rPr>
          <w:sz w:val="22"/>
          <w:szCs w:val="22"/>
        </w:rPr>
        <w:t xml:space="preserve">Brown University </w:t>
      </w:r>
      <w:r w:rsidRPr="004C5018">
        <w:rPr>
          <w:sz w:val="22"/>
          <w:szCs w:val="22"/>
        </w:rPr>
        <w:t>Working Paper.</w:t>
      </w:r>
    </w:p>
    <w:p w14:paraId="0C9F06AB" w14:textId="77777777" w:rsidR="00D3280C" w:rsidRPr="004C5018" w:rsidRDefault="00D3280C" w:rsidP="0042688D">
      <w:pPr>
        <w:ind w:left="480" w:hanging="480"/>
        <w:contextualSpacing/>
        <w:mirrorIndents/>
        <w:rPr>
          <w:sz w:val="22"/>
          <w:szCs w:val="22"/>
        </w:rPr>
      </w:pPr>
    </w:p>
    <w:p w14:paraId="5BF62D51" w14:textId="77777777" w:rsidR="00D3280C" w:rsidRPr="004C5018" w:rsidRDefault="00D3280C" w:rsidP="00D3280C">
      <w:pPr>
        <w:ind w:left="480" w:hanging="480"/>
        <w:contextualSpacing/>
        <w:mirrorIndents/>
        <w:rPr>
          <w:b/>
          <w:sz w:val="22"/>
          <w:szCs w:val="22"/>
        </w:rPr>
      </w:pPr>
      <w:proofErr w:type="spellStart"/>
      <w:r w:rsidRPr="004C5018">
        <w:rPr>
          <w:b/>
          <w:sz w:val="22"/>
          <w:szCs w:val="22"/>
        </w:rPr>
        <w:t>Lazer</w:t>
      </w:r>
      <w:proofErr w:type="spellEnd"/>
      <w:r w:rsidRPr="004C5018">
        <w:rPr>
          <w:b/>
          <w:sz w:val="22"/>
          <w:szCs w:val="22"/>
        </w:rPr>
        <w:t xml:space="preserve">, David, Ryan Kennedy, Gary King, and Alessandro </w:t>
      </w:r>
      <w:proofErr w:type="spellStart"/>
      <w:r w:rsidRPr="004C5018">
        <w:rPr>
          <w:b/>
          <w:sz w:val="22"/>
          <w:szCs w:val="22"/>
        </w:rPr>
        <w:t>Vespignani</w:t>
      </w:r>
      <w:proofErr w:type="spellEnd"/>
      <w:r w:rsidRPr="004C5018">
        <w:rPr>
          <w:b/>
          <w:sz w:val="22"/>
          <w:szCs w:val="22"/>
        </w:rPr>
        <w:t xml:space="preserve">. 2014. “The Parable of Google Flu: Traps in Big Data Analysis.” </w:t>
      </w:r>
      <w:r w:rsidRPr="004C5018">
        <w:rPr>
          <w:b/>
          <w:i/>
          <w:iCs/>
          <w:sz w:val="22"/>
          <w:szCs w:val="22"/>
        </w:rPr>
        <w:t>Science</w:t>
      </w:r>
      <w:r w:rsidRPr="004C5018">
        <w:rPr>
          <w:b/>
          <w:sz w:val="22"/>
          <w:szCs w:val="22"/>
        </w:rPr>
        <w:t xml:space="preserve"> 343 (6167): 1203–5. </w:t>
      </w:r>
    </w:p>
    <w:p w14:paraId="16FF9725" w14:textId="77777777" w:rsidR="00C576D1" w:rsidRPr="004C5018" w:rsidRDefault="00C576D1" w:rsidP="00797775">
      <w:pPr>
        <w:contextualSpacing/>
        <w:mirrorIndents/>
        <w:rPr>
          <w:sz w:val="22"/>
          <w:szCs w:val="22"/>
        </w:rPr>
      </w:pPr>
    </w:p>
    <w:p w14:paraId="26934788" w14:textId="5F71D92A"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i/>
          <w:color w:val="222222"/>
          <w:sz w:val="22"/>
          <w:szCs w:val="22"/>
        </w:rPr>
      </w:pPr>
      <w:r w:rsidRPr="004C5018">
        <w:rPr>
          <w:rFonts w:ascii="Times New Roman" w:hAnsi="Times New Roman"/>
          <w:i/>
          <w:color w:val="222222"/>
          <w:sz w:val="22"/>
          <w:szCs w:val="22"/>
        </w:rPr>
        <w:t>The Economics of Health Care and Insurance</w:t>
      </w:r>
    </w:p>
    <w:p w14:paraId="2DA515AC" w14:textId="2FC007B8"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b/>
          <w:sz w:val="22"/>
          <w:szCs w:val="22"/>
        </w:rPr>
      </w:pPr>
    </w:p>
    <w:p w14:paraId="75B4BBE6" w14:textId="77777777" w:rsidR="00D3280C" w:rsidRPr="004C5018" w:rsidRDefault="00D3280C" w:rsidP="00D3280C">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 xml:space="preserve">Baicker, Katherine, Sarah L. Taubman, Heidi L. Allen, Mira Bernstein, Jonathan H. Gruber, Joseph P. Newhouse, Eric C. Schneider, Bill J. Wright, Alan M. </w:t>
      </w:r>
      <w:proofErr w:type="spellStart"/>
      <w:r w:rsidRPr="004C5018">
        <w:rPr>
          <w:rFonts w:ascii="Times New Roman" w:hAnsi="Times New Roman"/>
          <w:sz w:val="22"/>
          <w:szCs w:val="22"/>
        </w:rPr>
        <w:t>Zaslavsky</w:t>
      </w:r>
      <w:proofErr w:type="spellEnd"/>
      <w:r w:rsidRPr="004C5018">
        <w:rPr>
          <w:rFonts w:ascii="Times New Roman" w:hAnsi="Times New Roman"/>
          <w:sz w:val="22"/>
          <w:szCs w:val="22"/>
        </w:rPr>
        <w:t xml:space="preserve">, and Amy N. Finkelstein. 2013. “The Oregon Experiment — Effects of Medicaid on Clinical Outcomes.” </w:t>
      </w:r>
      <w:r w:rsidRPr="004C5018">
        <w:rPr>
          <w:rFonts w:ascii="Times New Roman" w:hAnsi="Times New Roman"/>
          <w:i/>
          <w:iCs/>
          <w:sz w:val="22"/>
          <w:szCs w:val="22"/>
        </w:rPr>
        <w:t>New England Journal of Medicine</w:t>
      </w:r>
      <w:r w:rsidRPr="004C5018">
        <w:rPr>
          <w:rFonts w:ascii="Times New Roman" w:hAnsi="Times New Roman"/>
          <w:sz w:val="22"/>
          <w:szCs w:val="22"/>
        </w:rPr>
        <w:t xml:space="preserve"> 368: 1713–22.</w:t>
      </w:r>
      <w:r w:rsidRPr="004C5018">
        <w:rPr>
          <w:rStyle w:val="Hyperlink"/>
          <w:rFonts w:ascii="Times New Roman" w:hAnsi="Times New Roman"/>
          <w:sz w:val="22"/>
          <w:szCs w:val="22"/>
        </w:rPr>
        <w:t xml:space="preserve"> </w:t>
      </w:r>
      <w:hyperlink r:id="rId32" w:history="1">
        <w:r w:rsidRPr="004C5018">
          <w:rPr>
            <w:rStyle w:val="Hyperlink"/>
            <w:rFonts w:ascii="Times New Roman" w:hAnsi="Times New Roman"/>
            <w:sz w:val="22"/>
            <w:szCs w:val="22"/>
          </w:rPr>
          <w:t>Non-technical summary</w:t>
        </w:r>
      </w:hyperlink>
      <w:r w:rsidRPr="004C5018">
        <w:rPr>
          <w:rStyle w:val="Hyperlink"/>
          <w:rFonts w:ascii="Times New Roman" w:hAnsi="Times New Roman"/>
          <w:sz w:val="22"/>
          <w:szCs w:val="22"/>
        </w:rPr>
        <w:t>.</w:t>
      </w:r>
    </w:p>
    <w:p w14:paraId="74F4FDAD" w14:textId="61929A0E"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b/>
          <w:sz w:val="22"/>
          <w:szCs w:val="22"/>
        </w:rPr>
      </w:pPr>
    </w:p>
    <w:p w14:paraId="502CEEBD" w14:textId="754AE6CA" w:rsidR="00D3280C" w:rsidRPr="004C5018" w:rsidRDefault="00D3280C" w:rsidP="00D3280C">
      <w:pPr>
        <w:ind w:left="480" w:hanging="480"/>
        <w:contextualSpacing/>
        <w:mirrorIndents/>
        <w:rPr>
          <w:sz w:val="22"/>
          <w:szCs w:val="22"/>
        </w:rPr>
      </w:pPr>
      <w:r w:rsidRPr="004C5018">
        <w:rPr>
          <w:sz w:val="22"/>
          <w:szCs w:val="22"/>
        </w:rPr>
        <w:t xml:space="preserve">Finkelstein, Amy N., Matthew Gentzkow, and Heidi Williams. 2016. “Sources of Geographic Variation in Health Care: Evidence from Patient Migration.” </w:t>
      </w:r>
      <w:r w:rsidRPr="004C5018">
        <w:rPr>
          <w:i/>
          <w:iCs/>
          <w:sz w:val="22"/>
          <w:szCs w:val="22"/>
        </w:rPr>
        <w:t>Quarterly Journal of Economics</w:t>
      </w:r>
      <w:r w:rsidRPr="004C5018">
        <w:rPr>
          <w:sz w:val="22"/>
          <w:szCs w:val="22"/>
        </w:rPr>
        <w:t xml:space="preserve"> 131 (4): 1681–1726.</w:t>
      </w:r>
    </w:p>
    <w:p w14:paraId="737A23E5" w14:textId="77777777" w:rsidR="00D3280C" w:rsidRPr="004C5018" w:rsidRDefault="00D3280C" w:rsidP="0042688D">
      <w:pPr>
        <w:pStyle w:val="NormalWeb"/>
        <w:spacing w:before="0" w:beforeAutospacing="0" w:after="0" w:afterAutospacing="0"/>
        <w:ind w:left="475" w:hanging="475"/>
        <w:contextualSpacing/>
        <w:mirrorIndents/>
        <w:rPr>
          <w:rFonts w:ascii="Times New Roman" w:hAnsi="Times New Roman"/>
          <w:b/>
          <w:sz w:val="22"/>
          <w:szCs w:val="22"/>
        </w:rPr>
      </w:pPr>
    </w:p>
    <w:p w14:paraId="67B239B0" w14:textId="520037FA" w:rsidR="000E1A71" w:rsidRPr="004C5018" w:rsidRDefault="000E1A71" w:rsidP="00D3280C">
      <w:pPr>
        <w:pStyle w:val="NormalWeb"/>
        <w:spacing w:before="0" w:beforeAutospacing="0" w:after="0" w:afterAutospacing="0"/>
        <w:ind w:left="475" w:hanging="475"/>
        <w:contextualSpacing/>
        <w:mirrorIndents/>
        <w:rPr>
          <w:rFonts w:ascii="Times New Roman" w:hAnsi="Times New Roman"/>
          <w:b/>
          <w:sz w:val="22"/>
          <w:szCs w:val="22"/>
        </w:rPr>
      </w:pPr>
      <w:r w:rsidRPr="004C5018">
        <w:rPr>
          <w:rFonts w:ascii="Times New Roman" w:hAnsi="Times New Roman"/>
          <w:b/>
          <w:sz w:val="22"/>
          <w:szCs w:val="22"/>
        </w:rPr>
        <w:t xml:space="preserve">Finkelstein, Amy, Nathaniel Hendren, and Mark Shepard. 2017. “Subsidizing Health Insurance for Low-Income Adults: Evidence from Massachusetts.” NBER Working Paper No. 23668. </w:t>
      </w:r>
      <w:hyperlink r:id="rId33" w:history="1">
        <w:r w:rsidRPr="004C5018">
          <w:rPr>
            <w:rStyle w:val="Hyperlink"/>
            <w:rFonts w:ascii="Times New Roman" w:hAnsi="Times New Roman"/>
            <w:b/>
            <w:sz w:val="22"/>
            <w:szCs w:val="22"/>
          </w:rPr>
          <w:t>Non-technical summary</w:t>
        </w:r>
      </w:hyperlink>
    </w:p>
    <w:p w14:paraId="532B9FB6" w14:textId="77777777" w:rsidR="000E1A71" w:rsidRPr="004C5018" w:rsidRDefault="000E1A71" w:rsidP="0042688D">
      <w:pPr>
        <w:pStyle w:val="NormalWeb"/>
        <w:spacing w:before="0" w:beforeAutospacing="0" w:after="0" w:afterAutospacing="0"/>
        <w:ind w:left="480" w:hanging="480"/>
        <w:contextualSpacing/>
        <w:mirrorIndents/>
        <w:rPr>
          <w:rFonts w:ascii="Times New Roman" w:hAnsi="Times New Roman"/>
          <w:sz w:val="22"/>
          <w:szCs w:val="22"/>
        </w:rPr>
      </w:pPr>
    </w:p>
    <w:p w14:paraId="790AF543" w14:textId="61742D4F" w:rsidR="00C576D1" w:rsidRPr="004C5018" w:rsidRDefault="000E1A71" w:rsidP="00D3280C">
      <w:pPr>
        <w:pStyle w:val="NormalWeb"/>
        <w:spacing w:before="0" w:beforeAutospacing="0" w:after="0" w:afterAutospacing="0"/>
        <w:ind w:left="480" w:hanging="480"/>
        <w:contextualSpacing/>
        <w:mirrorIndents/>
        <w:rPr>
          <w:rFonts w:ascii="Times New Roman" w:hAnsi="Times New Roman"/>
          <w:sz w:val="22"/>
          <w:szCs w:val="22"/>
        </w:rPr>
      </w:pPr>
      <w:r w:rsidRPr="004C5018">
        <w:rPr>
          <w:rFonts w:ascii="Times New Roman" w:hAnsi="Times New Roman"/>
          <w:sz w:val="22"/>
          <w:szCs w:val="22"/>
        </w:rPr>
        <w:t xml:space="preserve">Taubman, Sarah L, Heidi L Allen, Bill J Wright, Katherine Baicker, and Amy N Finkelstein. 2014. “Medicaid Increases Emergency-Department Use: Evidence from Oregon’s Health Insurance Experiment.” </w:t>
      </w:r>
      <w:r w:rsidRPr="004C5018">
        <w:rPr>
          <w:rFonts w:ascii="Times New Roman" w:hAnsi="Times New Roman"/>
          <w:i/>
          <w:iCs/>
          <w:sz w:val="22"/>
          <w:szCs w:val="22"/>
        </w:rPr>
        <w:t>Science</w:t>
      </w:r>
      <w:r w:rsidRPr="004C5018">
        <w:rPr>
          <w:rFonts w:ascii="Times New Roman" w:hAnsi="Times New Roman"/>
          <w:sz w:val="22"/>
          <w:szCs w:val="22"/>
        </w:rPr>
        <w:t xml:space="preserve"> 343 (6168): 263–68. </w:t>
      </w:r>
      <w:hyperlink r:id="rId34" w:history="1">
        <w:r w:rsidRPr="004C5018">
          <w:rPr>
            <w:rStyle w:val="Hyperlink"/>
            <w:rFonts w:ascii="Times New Roman" w:hAnsi="Times New Roman"/>
            <w:sz w:val="22"/>
            <w:szCs w:val="22"/>
          </w:rPr>
          <w:t>Non-technical summary</w:t>
        </w:r>
      </w:hyperlink>
      <w:r w:rsidRPr="004C5018">
        <w:rPr>
          <w:rStyle w:val="Hyperlink"/>
          <w:rFonts w:ascii="Times New Roman" w:hAnsi="Times New Roman"/>
          <w:sz w:val="22"/>
          <w:szCs w:val="22"/>
        </w:rPr>
        <w:t>.</w:t>
      </w:r>
    </w:p>
    <w:p w14:paraId="4AF5FF82" w14:textId="77777777" w:rsidR="00C576D1" w:rsidRPr="004C5018" w:rsidRDefault="00C576D1" w:rsidP="0042688D">
      <w:pPr>
        <w:ind w:left="480" w:hanging="480"/>
        <w:contextualSpacing/>
        <w:mirrorIndents/>
        <w:rPr>
          <w:sz w:val="22"/>
          <w:szCs w:val="22"/>
        </w:rPr>
      </w:pPr>
    </w:p>
    <w:p w14:paraId="395F1812" w14:textId="33CC8F0F" w:rsidR="000E1A71" w:rsidRDefault="000E1A71" w:rsidP="0042688D">
      <w:pPr>
        <w:ind w:left="480" w:hanging="480"/>
        <w:contextualSpacing/>
        <w:mirrorIndents/>
        <w:rPr>
          <w:sz w:val="22"/>
          <w:szCs w:val="22"/>
        </w:rPr>
      </w:pPr>
      <w:r w:rsidRPr="004C5018">
        <w:rPr>
          <w:sz w:val="22"/>
          <w:szCs w:val="22"/>
        </w:rPr>
        <w:t xml:space="preserve">Wherry, Laura, Sarah Miller, Robert </w:t>
      </w:r>
      <w:proofErr w:type="spellStart"/>
      <w:r w:rsidRPr="004C5018">
        <w:rPr>
          <w:sz w:val="22"/>
          <w:szCs w:val="22"/>
        </w:rPr>
        <w:t>Kaestner</w:t>
      </w:r>
      <w:proofErr w:type="spellEnd"/>
      <w:r w:rsidRPr="004C5018">
        <w:rPr>
          <w:sz w:val="22"/>
          <w:szCs w:val="22"/>
        </w:rPr>
        <w:t>, and Bruce Meyer. 201</w:t>
      </w:r>
      <w:r w:rsidR="0075232C" w:rsidRPr="004C5018">
        <w:rPr>
          <w:sz w:val="22"/>
          <w:szCs w:val="22"/>
        </w:rPr>
        <w:t>8</w:t>
      </w:r>
      <w:r w:rsidRPr="004C5018">
        <w:rPr>
          <w:sz w:val="22"/>
          <w:szCs w:val="22"/>
        </w:rPr>
        <w:t xml:space="preserve">. “Childhood Medicaid Coverage and Later Life Health Care Utilization.” </w:t>
      </w:r>
      <w:r w:rsidRPr="004C5018">
        <w:rPr>
          <w:i/>
          <w:iCs/>
          <w:sz w:val="22"/>
          <w:szCs w:val="22"/>
        </w:rPr>
        <w:t>Review of Economics and Statistics</w:t>
      </w:r>
      <w:r w:rsidRPr="004C5018">
        <w:rPr>
          <w:sz w:val="22"/>
          <w:szCs w:val="22"/>
        </w:rPr>
        <w:t xml:space="preserve"> </w:t>
      </w:r>
      <w:r w:rsidR="0075232C" w:rsidRPr="004C5018">
        <w:rPr>
          <w:sz w:val="22"/>
          <w:szCs w:val="22"/>
        </w:rPr>
        <w:t>100(2): 287-302.</w:t>
      </w:r>
    </w:p>
    <w:p w14:paraId="4998EF5E" w14:textId="0B23B67A" w:rsidR="008F4B02" w:rsidRDefault="008F4B02" w:rsidP="0042688D">
      <w:pPr>
        <w:ind w:left="480" w:hanging="480"/>
        <w:contextualSpacing/>
        <w:mirrorIndents/>
        <w:rPr>
          <w:sz w:val="22"/>
          <w:szCs w:val="22"/>
        </w:rPr>
      </w:pPr>
    </w:p>
    <w:p w14:paraId="741C2B2D" w14:textId="77B15AC6" w:rsidR="008F4B02" w:rsidRDefault="008F4B02" w:rsidP="0042688D">
      <w:pPr>
        <w:ind w:left="480" w:hanging="480"/>
        <w:contextualSpacing/>
        <w:mirrorIndents/>
        <w:rPr>
          <w:sz w:val="22"/>
          <w:szCs w:val="22"/>
        </w:rPr>
      </w:pPr>
    </w:p>
    <w:p w14:paraId="69F460D4" w14:textId="5F338B71" w:rsidR="008F4B02" w:rsidRDefault="008F4B02" w:rsidP="0042688D">
      <w:pPr>
        <w:ind w:left="480" w:hanging="480"/>
        <w:contextualSpacing/>
        <w:mirrorIndents/>
        <w:rPr>
          <w:sz w:val="22"/>
          <w:szCs w:val="22"/>
        </w:rPr>
      </w:pPr>
    </w:p>
    <w:p w14:paraId="57795381" w14:textId="64855374" w:rsidR="008F4B02" w:rsidRDefault="008F4B02" w:rsidP="0042688D">
      <w:pPr>
        <w:ind w:left="480" w:hanging="480"/>
        <w:contextualSpacing/>
        <w:mirrorIndents/>
        <w:rPr>
          <w:sz w:val="22"/>
          <w:szCs w:val="22"/>
        </w:rPr>
      </w:pPr>
    </w:p>
    <w:p w14:paraId="102B353F" w14:textId="77777777" w:rsidR="000E1A71" w:rsidRPr="004C5018" w:rsidRDefault="000E1A71" w:rsidP="0042688D">
      <w:pPr>
        <w:contextualSpacing/>
        <w:mirrorIndents/>
        <w:jc w:val="center"/>
        <w:rPr>
          <w:sz w:val="22"/>
          <w:szCs w:val="22"/>
          <w:u w:val="single"/>
        </w:rPr>
      </w:pPr>
      <w:r w:rsidRPr="004C5018">
        <w:rPr>
          <w:sz w:val="22"/>
          <w:szCs w:val="22"/>
          <w:u w:val="single"/>
        </w:rPr>
        <w:lastRenderedPageBreak/>
        <w:t>Part V: Criminal Justice</w:t>
      </w:r>
    </w:p>
    <w:p w14:paraId="64A66908" w14:textId="1067A989" w:rsidR="000E1A71" w:rsidRDefault="000E1A71" w:rsidP="0042688D">
      <w:pPr>
        <w:contextualSpacing/>
        <w:mirrorIndents/>
        <w:rPr>
          <w:sz w:val="22"/>
          <w:szCs w:val="22"/>
        </w:rPr>
      </w:pPr>
    </w:p>
    <w:p w14:paraId="1E636AB9" w14:textId="6502078E" w:rsidR="00A370AB" w:rsidRPr="004C5018" w:rsidRDefault="00B02A32" w:rsidP="00B02A32">
      <w:pPr>
        <w:autoSpaceDE w:val="0"/>
        <w:autoSpaceDN w:val="0"/>
        <w:adjustRightInd w:val="0"/>
        <w:ind w:left="540" w:hanging="540"/>
        <w:contextualSpacing/>
        <w:mirrorIndents/>
        <w:rPr>
          <w:rFonts w:eastAsiaTheme="minorHAnsi"/>
          <w:sz w:val="22"/>
          <w:szCs w:val="22"/>
        </w:rPr>
      </w:pPr>
      <w:r w:rsidRPr="004C5018">
        <w:rPr>
          <w:rFonts w:eastAsiaTheme="minorHAnsi"/>
          <w:sz w:val="22"/>
          <w:szCs w:val="22"/>
        </w:rPr>
        <w:t xml:space="preserve">Heller, Sara B., Anuj K. Shah, Jonathan </w:t>
      </w:r>
      <w:proofErr w:type="spellStart"/>
      <w:r w:rsidRPr="004C5018">
        <w:rPr>
          <w:rFonts w:eastAsiaTheme="minorHAnsi"/>
          <w:sz w:val="22"/>
          <w:szCs w:val="22"/>
        </w:rPr>
        <w:t>Guryan</w:t>
      </w:r>
      <w:proofErr w:type="spellEnd"/>
      <w:r w:rsidRPr="004C5018">
        <w:rPr>
          <w:rFonts w:eastAsiaTheme="minorHAnsi"/>
          <w:sz w:val="22"/>
          <w:szCs w:val="22"/>
        </w:rPr>
        <w:t xml:space="preserve">, Jens Ludwig, </w:t>
      </w:r>
      <w:proofErr w:type="spellStart"/>
      <w:r w:rsidRPr="004C5018">
        <w:rPr>
          <w:rFonts w:eastAsiaTheme="minorHAnsi"/>
          <w:sz w:val="22"/>
          <w:szCs w:val="22"/>
        </w:rPr>
        <w:t>Sendhil</w:t>
      </w:r>
      <w:proofErr w:type="spellEnd"/>
      <w:r w:rsidRPr="004C5018">
        <w:rPr>
          <w:rFonts w:eastAsiaTheme="minorHAnsi"/>
          <w:sz w:val="22"/>
          <w:szCs w:val="22"/>
        </w:rPr>
        <w:t xml:space="preserve"> Mullainathan, Harold A. Pollack. 2015. “</w:t>
      </w:r>
      <w:r w:rsidR="00A370AB" w:rsidRPr="004C5018">
        <w:rPr>
          <w:rFonts w:eastAsiaTheme="minorHAnsi"/>
          <w:sz w:val="22"/>
          <w:szCs w:val="22"/>
        </w:rPr>
        <w:t>Thinking, Fast and Slow? Some Field Experiments to Reduce Crime and Dropout in Chicago.</w:t>
      </w:r>
      <w:r w:rsidRPr="004C5018">
        <w:rPr>
          <w:rFonts w:eastAsiaTheme="minorHAnsi"/>
          <w:sz w:val="22"/>
          <w:szCs w:val="22"/>
        </w:rPr>
        <w:t xml:space="preserve">” </w:t>
      </w:r>
      <w:r w:rsidR="00A370AB" w:rsidRPr="004C5018">
        <w:rPr>
          <w:rFonts w:eastAsiaTheme="minorHAnsi"/>
          <w:sz w:val="22"/>
          <w:szCs w:val="22"/>
        </w:rPr>
        <w:t>NBER Working Paper</w:t>
      </w:r>
      <w:r w:rsidRPr="004C5018">
        <w:rPr>
          <w:rFonts w:eastAsiaTheme="minorHAnsi"/>
          <w:sz w:val="22"/>
          <w:szCs w:val="22"/>
        </w:rPr>
        <w:t xml:space="preserve"> No.</w:t>
      </w:r>
      <w:r w:rsidR="00A370AB" w:rsidRPr="004C5018">
        <w:rPr>
          <w:rFonts w:eastAsiaTheme="minorHAnsi"/>
          <w:sz w:val="22"/>
          <w:szCs w:val="22"/>
        </w:rPr>
        <w:t xml:space="preserve"> 21178</w:t>
      </w:r>
      <w:r w:rsidRPr="004C5018">
        <w:rPr>
          <w:rFonts w:eastAsiaTheme="minorHAnsi"/>
          <w:sz w:val="22"/>
          <w:szCs w:val="22"/>
        </w:rPr>
        <w:t>.</w:t>
      </w:r>
    </w:p>
    <w:p w14:paraId="2C705957" w14:textId="77777777" w:rsidR="00A370AB" w:rsidRPr="004C5018" w:rsidRDefault="00A370AB" w:rsidP="00B02A32">
      <w:pPr>
        <w:ind w:left="540" w:hanging="540"/>
        <w:contextualSpacing/>
        <w:mirrorIndents/>
        <w:rPr>
          <w:rFonts w:eastAsiaTheme="minorHAnsi"/>
          <w:sz w:val="22"/>
          <w:szCs w:val="22"/>
        </w:rPr>
      </w:pPr>
    </w:p>
    <w:p w14:paraId="5F184C1E" w14:textId="33D278C8" w:rsidR="000E1A71" w:rsidRPr="004C5018" w:rsidRDefault="000E1A71" w:rsidP="0042688D">
      <w:pPr>
        <w:contextualSpacing/>
        <w:mirrorIndents/>
        <w:rPr>
          <w:i/>
          <w:sz w:val="22"/>
          <w:szCs w:val="22"/>
        </w:rPr>
      </w:pPr>
      <w:r w:rsidRPr="004C5018">
        <w:rPr>
          <w:sz w:val="22"/>
          <w:szCs w:val="22"/>
        </w:rPr>
        <w:t xml:space="preserve">Hvistendahl, Mara. 2016. </w:t>
      </w:r>
      <w:hyperlink r:id="rId35" w:history="1">
        <w:r w:rsidRPr="004C5018">
          <w:rPr>
            <w:rStyle w:val="Hyperlink"/>
            <w:sz w:val="22"/>
            <w:szCs w:val="22"/>
          </w:rPr>
          <w:t>Can ‘Predictive Policing’ Prevent Crime Before It Happens</w:t>
        </w:r>
      </w:hyperlink>
      <w:r w:rsidRPr="004C5018">
        <w:rPr>
          <w:sz w:val="22"/>
          <w:szCs w:val="22"/>
        </w:rPr>
        <w:t xml:space="preserve">? </w:t>
      </w:r>
      <w:r w:rsidRPr="004C5018">
        <w:rPr>
          <w:i/>
          <w:sz w:val="22"/>
          <w:szCs w:val="22"/>
        </w:rPr>
        <w:t xml:space="preserve">Science </w:t>
      </w:r>
    </w:p>
    <w:p w14:paraId="422D1089" w14:textId="33B00969" w:rsidR="000E1A71" w:rsidRDefault="000E1A71" w:rsidP="0042688D">
      <w:pPr>
        <w:contextualSpacing/>
        <w:mirrorIndents/>
        <w:rPr>
          <w:sz w:val="22"/>
          <w:szCs w:val="22"/>
        </w:rPr>
      </w:pPr>
      <w:r w:rsidRPr="004C5018">
        <w:rPr>
          <w:i/>
          <w:sz w:val="22"/>
          <w:szCs w:val="22"/>
        </w:rPr>
        <w:tab/>
        <w:t>News</w:t>
      </w:r>
      <w:r w:rsidRPr="004C5018">
        <w:rPr>
          <w:sz w:val="22"/>
          <w:szCs w:val="22"/>
        </w:rPr>
        <w:t>.</w:t>
      </w:r>
    </w:p>
    <w:p w14:paraId="230BB876" w14:textId="77777777" w:rsidR="00467137" w:rsidRDefault="00467137" w:rsidP="00467137">
      <w:pPr>
        <w:ind w:left="630" w:hanging="630"/>
        <w:contextualSpacing/>
        <w:mirrorIndents/>
        <w:rPr>
          <w:sz w:val="22"/>
          <w:szCs w:val="22"/>
        </w:rPr>
      </w:pPr>
    </w:p>
    <w:p w14:paraId="0365D73E" w14:textId="13B049EE" w:rsidR="00467137" w:rsidRPr="004C5018" w:rsidRDefault="00467137" w:rsidP="00467137">
      <w:pPr>
        <w:ind w:left="630" w:hanging="630"/>
        <w:contextualSpacing/>
        <w:mirrorIndents/>
        <w:rPr>
          <w:sz w:val="22"/>
          <w:szCs w:val="22"/>
        </w:rPr>
      </w:pPr>
      <w:r w:rsidRPr="007E018B">
        <w:rPr>
          <w:sz w:val="22"/>
          <w:szCs w:val="22"/>
        </w:rPr>
        <w:t>James, Gareth</w:t>
      </w:r>
      <w:r>
        <w:rPr>
          <w:sz w:val="22"/>
          <w:szCs w:val="22"/>
        </w:rPr>
        <w:t xml:space="preserve">, </w:t>
      </w:r>
      <w:r w:rsidRPr="007E018B">
        <w:rPr>
          <w:sz w:val="22"/>
          <w:szCs w:val="22"/>
        </w:rPr>
        <w:t xml:space="preserve">Daniela Witten, Trevor Hastie and Robert </w:t>
      </w:r>
      <w:proofErr w:type="spellStart"/>
      <w:r w:rsidRPr="007E018B">
        <w:rPr>
          <w:sz w:val="22"/>
          <w:szCs w:val="22"/>
        </w:rPr>
        <w:t>Tibshirani</w:t>
      </w:r>
      <w:proofErr w:type="spellEnd"/>
      <w:r w:rsidRPr="007E018B">
        <w:rPr>
          <w:sz w:val="22"/>
          <w:szCs w:val="22"/>
        </w:rPr>
        <w:t xml:space="preserve">, </w:t>
      </w:r>
      <w:r>
        <w:rPr>
          <w:sz w:val="22"/>
          <w:szCs w:val="22"/>
        </w:rPr>
        <w:t>“</w:t>
      </w:r>
      <w:r w:rsidRPr="007E018B">
        <w:rPr>
          <w:sz w:val="22"/>
          <w:szCs w:val="22"/>
        </w:rPr>
        <w:t>Tree-Based Methods,</w:t>
      </w:r>
      <w:r>
        <w:rPr>
          <w:sz w:val="22"/>
          <w:szCs w:val="22"/>
        </w:rPr>
        <w:t>”</w:t>
      </w:r>
      <w:r w:rsidRPr="007E018B">
        <w:rPr>
          <w:sz w:val="22"/>
          <w:szCs w:val="22"/>
        </w:rPr>
        <w:t xml:space="preserve"> Chapter</w:t>
      </w:r>
      <w:r>
        <w:rPr>
          <w:sz w:val="22"/>
          <w:szCs w:val="22"/>
        </w:rPr>
        <w:t xml:space="preserve"> 8</w:t>
      </w:r>
      <w:r w:rsidRPr="007E018B">
        <w:rPr>
          <w:sz w:val="22"/>
          <w:szCs w:val="22"/>
        </w:rPr>
        <w:t xml:space="preserve"> in </w:t>
      </w:r>
      <w:hyperlink r:id="rId36" w:history="1">
        <w:r w:rsidRPr="007E018B">
          <w:rPr>
            <w:rStyle w:val="Hyperlink"/>
            <w:i/>
            <w:sz w:val="22"/>
            <w:szCs w:val="22"/>
          </w:rPr>
          <w:t>An Introduction to Statistical Learning</w:t>
        </w:r>
      </w:hyperlink>
      <w:r>
        <w:rPr>
          <w:sz w:val="22"/>
          <w:szCs w:val="22"/>
        </w:rPr>
        <w:t xml:space="preserve">.  </w:t>
      </w:r>
    </w:p>
    <w:p w14:paraId="55E0385A" w14:textId="77777777" w:rsidR="000E1A71" w:rsidRPr="004C5018" w:rsidRDefault="000E1A71" w:rsidP="0042688D">
      <w:pPr>
        <w:contextualSpacing/>
        <w:mirrorIndents/>
        <w:rPr>
          <w:rFonts w:eastAsiaTheme="minorHAnsi"/>
          <w:sz w:val="22"/>
          <w:szCs w:val="22"/>
        </w:rPr>
      </w:pPr>
    </w:p>
    <w:p w14:paraId="15DEB3B5" w14:textId="31780FD6" w:rsidR="000E1A71" w:rsidRPr="004C5018" w:rsidRDefault="000E1A71" w:rsidP="0042688D">
      <w:pPr>
        <w:ind w:left="720" w:hanging="720"/>
        <w:contextualSpacing/>
        <w:mirrorIndents/>
        <w:rPr>
          <w:b/>
          <w:sz w:val="22"/>
          <w:szCs w:val="22"/>
        </w:rPr>
      </w:pPr>
      <w:r w:rsidRPr="004C5018">
        <w:rPr>
          <w:rFonts w:eastAsiaTheme="minorHAnsi"/>
          <w:b/>
          <w:sz w:val="22"/>
          <w:szCs w:val="22"/>
        </w:rPr>
        <w:t xml:space="preserve">Kleinberg, Jon, </w:t>
      </w:r>
      <w:proofErr w:type="spellStart"/>
      <w:r w:rsidRPr="004C5018">
        <w:rPr>
          <w:rFonts w:eastAsiaTheme="minorHAnsi"/>
          <w:b/>
          <w:sz w:val="22"/>
          <w:szCs w:val="22"/>
        </w:rPr>
        <w:t>Himabindu</w:t>
      </w:r>
      <w:proofErr w:type="spellEnd"/>
      <w:r w:rsidRPr="004C5018">
        <w:rPr>
          <w:rFonts w:eastAsiaTheme="minorHAnsi"/>
          <w:b/>
          <w:sz w:val="22"/>
          <w:szCs w:val="22"/>
        </w:rPr>
        <w:t xml:space="preserve"> </w:t>
      </w:r>
      <w:proofErr w:type="spellStart"/>
      <w:r w:rsidRPr="004C5018">
        <w:rPr>
          <w:rFonts w:eastAsiaTheme="minorHAnsi"/>
          <w:b/>
          <w:sz w:val="22"/>
          <w:szCs w:val="22"/>
        </w:rPr>
        <w:t>Lakkaraju</w:t>
      </w:r>
      <w:proofErr w:type="spellEnd"/>
      <w:r w:rsidRPr="004C5018">
        <w:rPr>
          <w:rFonts w:eastAsiaTheme="minorHAnsi"/>
          <w:b/>
          <w:sz w:val="22"/>
          <w:szCs w:val="22"/>
        </w:rPr>
        <w:t xml:space="preserve">, Jure </w:t>
      </w:r>
      <w:proofErr w:type="spellStart"/>
      <w:r w:rsidRPr="004C5018">
        <w:rPr>
          <w:rFonts w:eastAsiaTheme="minorHAnsi"/>
          <w:b/>
          <w:sz w:val="22"/>
          <w:szCs w:val="22"/>
        </w:rPr>
        <w:t>Leskovec</w:t>
      </w:r>
      <w:proofErr w:type="spellEnd"/>
      <w:r w:rsidRPr="004C5018">
        <w:rPr>
          <w:rFonts w:eastAsiaTheme="minorHAnsi"/>
          <w:b/>
          <w:sz w:val="22"/>
          <w:szCs w:val="22"/>
        </w:rPr>
        <w:t xml:space="preserve">, Jens Ludwig, and </w:t>
      </w:r>
      <w:proofErr w:type="spellStart"/>
      <w:r w:rsidRPr="004C5018">
        <w:rPr>
          <w:rFonts w:eastAsiaTheme="minorHAnsi"/>
          <w:b/>
          <w:sz w:val="22"/>
          <w:szCs w:val="22"/>
        </w:rPr>
        <w:t>Sendhil</w:t>
      </w:r>
      <w:proofErr w:type="spellEnd"/>
      <w:r w:rsidRPr="004C5018">
        <w:rPr>
          <w:rFonts w:eastAsiaTheme="minorHAnsi"/>
          <w:b/>
          <w:sz w:val="22"/>
          <w:szCs w:val="22"/>
        </w:rPr>
        <w:t xml:space="preserve"> Mullainathan. 2017. “Human Decisions and Machine Predictions.” NBER Working Paper</w:t>
      </w:r>
      <w:r w:rsidR="00B02A32" w:rsidRPr="004C5018">
        <w:rPr>
          <w:rFonts w:eastAsiaTheme="minorHAnsi"/>
          <w:b/>
          <w:sz w:val="22"/>
          <w:szCs w:val="22"/>
        </w:rPr>
        <w:t xml:space="preserve"> No.</w:t>
      </w:r>
      <w:r w:rsidRPr="004C5018">
        <w:rPr>
          <w:rFonts w:eastAsiaTheme="minorHAnsi"/>
          <w:b/>
          <w:sz w:val="22"/>
          <w:szCs w:val="22"/>
        </w:rPr>
        <w:t xml:space="preserve"> 23180.</w:t>
      </w:r>
    </w:p>
    <w:p w14:paraId="03F89BD9" w14:textId="7DF447F3" w:rsidR="00B02A32" w:rsidRPr="004C5018" w:rsidRDefault="00B02A32" w:rsidP="007E018B">
      <w:pPr>
        <w:contextualSpacing/>
        <w:mirrorIndents/>
        <w:rPr>
          <w:sz w:val="22"/>
          <w:szCs w:val="22"/>
        </w:rPr>
      </w:pPr>
    </w:p>
    <w:p w14:paraId="0A24C8EB" w14:textId="77777777" w:rsidR="00B02A32" w:rsidRPr="004C5018" w:rsidRDefault="00B02A32" w:rsidP="00B02A32">
      <w:pPr>
        <w:contextualSpacing/>
        <w:mirrorIndents/>
        <w:rPr>
          <w:sz w:val="22"/>
          <w:szCs w:val="22"/>
        </w:rPr>
      </w:pPr>
      <w:r w:rsidRPr="004C5018">
        <w:rPr>
          <w:sz w:val="22"/>
          <w:szCs w:val="22"/>
        </w:rPr>
        <w:t xml:space="preserve">Kleinberg, John, Jens Ludwig, and </w:t>
      </w:r>
      <w:proofErr w:type="spellStart"/>
      <w:r w:rsidRPr="004C5018">
        <w:rPr>
          <w:sz w:val="22"/>
          <w:szCs w:val="22"/>
        </w:rPr>
        <w:t>Sendhil</w:t>
      </w:r>
      <w:proofErr w:type="spellEnd"/>
      <w:r w:rsidRPr="004C5018">
        <w:rPr>
          <w:sz w:val="22"/>
          <w:szCs w:val="22"/>
        </w:rPr>
        <w:t xml:space="preserve"> Mullainathan. 2016. </w:t>
      </w:r>
      <w:hyperlink r:id="rId37" w:history="1">
        <w:r w:rsidRPr="004C5018">
          <w:rPr>
            <w:rStyle w:val="Hyperlink"/>
            <w:sz w:val="22"/>
            <w:szCs w:val="22"/>
          </w:rPr>
          <w:t>A Guide to Solving Social</w:t>
        </w:r>
      </w:hyperlink>
      <w:r w:rsidRPr="004C5018">
        <w:rPr>
          <w:sz w:val="22"/>
          <w:szCs w:val="22"/>
        </w:rPr>
        <w:t xml:space="preserve"> </w:t>
      </w:r>
    </w:p>
    <w:p w14:paraId="1F7943A5" w14:textId="6D0B9553" w:rsidR="00B02A32" w:rsidRPr="004C5018" w:rsidRDefault="00B02A32" w:rsidP="00B02A32">
      <w:pPr>
        <w:contextualSpacing/>
        <w:mirrorIndents/>
        <w:rPr>
          <w:i/>
          <w:sz w:val="22"/>
          <w:szCs w:val="22"/>
        </w:rPr>
      </w:pPr>
      <w:r w:rsidRPr="004C5018">
        <w:rPr>
          <w:sz w:val="22"/>
          <w:szCs w:val="22"/>
        </w:rPr>
        <w:t xml:space="preserve">         </w:t>
      </w:r>
      <w:hyperlink r:id="rId38" w:history="1">
        <w:r w:rsidRPr="004C5018">
          <w:rPr>
            <w:rStyle w:val="Hyperlink"/>
            <w:sz w:val="22"/>
            <w:szCs w:val="22"/>
          </w:rPr>
          <w:t>Problems with Machine Learning</w:t>
        </w:r>
      </w:hyperlink>
      <w:r w:rsidRPr="004C5018">
        <w:rPr>
          <w:sz w:val="22"/>
          <w:szCs w:val="22"/>
        </w:rPr>
        <w:t>.</w:t>
      </w:r>
      <w:r w:rsidRPr="004C5018">
        <w:rPr>
          <w:i/>
          <w:sz w:val="22"/>
          <w:szCs w:val="22"/>
        </w:rPr>
        <w:t xml:space="preserve"> Harvard Business Review.</w:t>
      </w:r>
    </w:p>
    <w:p w14:paraId="0EDAE0F1" w14:textId="77777777" w:rsidR="00B02A32" w:rsidRPr="004C5018" w:rsidRDefault="00B02A32" w:rsidP="00467137">
      <w:pPr>
        <w:contextualSpacing/>
        <w:mirrorIndents/>
        <w:rPr>
          <w:sz w:val="22"/>
          <w:szCs w:val="22"/>
        </w:rPr>
      </w:pPr>
    </w:p>
    <w:p w14:paraId="77E13EA1" w14:textId="495849F5" w:rsidR="00797775" w:rsidRPr="004C5018" w:rsidRDefault="000E1A71" w:rsidP="00690514">
      <w:pPr>
        <w:ind w:left="480" w:hanging="480"/>
        <w:contextualSpacing/>
        <w:mirrorIndents/>
        <w:rPr>
          <w:sz w:val="22"/>
          <w:szCs w:val="22"/>
        </w:rPr>
      </w:pPr>
      <w:r w:rsidRPr="004C5018">
        <w:rPr>
          <w:sz w:val="22"/>
          <w:szCs w:val="22"/>
        </w:rPr>
        <w:t xml:space="preserve">Mohler, George, Martin Short, P. Jeffrey </w:t>
      </w:r>
      <w:proofErr w:type="spellStart"/>
      <w:r w:rsidRPr="004C5018">
        <w:rPr>
          <w:sz w:val="22"/>
          <w:szCs w:val="22"/>
        </w:rPr>
        <w:t>Brantingham</w:t>
      </w:r>
      <w:proofErr w:type="spellEnd"/>
      <w:r w:rsidRPr="004C5018">
        <w:rPr>
          <w:sz w:val="22"/>
          <w:szCs w:val="22"/>
        </w:rPr>
        <w:t xml:space="preserve">, Frederick Schoenberg, and George </w:t>
      </w:r>
      <w:proofErr w:type="spellStart"/>
      <w:r w:rsidRPr="004C5018">
        <w:rPr>
          <w:sz w:val="22"/>
          <w:szCs w:val="22"/>
        </w:rPr>
        <w:t>Tita</w:t>
      </w:r>
      <w:proofErr w:type="spellEnd"/>
      <w:r w:rsidRPr="004C5018">
        <w:rPr>
          <w:sz w:val="22"/>
          <w:szCs w:val="22"/>
        </w:rPr>
        <w:t xml:space="preserve">. 2011. “Self-Exciting Point Process Modeling of Crime.” </w:t>
      </w:r>
      <w:r w:rsidRPr="004C5018">
        <w:rPr>
          <w:i/>
          <w:iCs/>
          <w:sz w:val="22"/>
          <w:szCs w:val="22"/>
        </w:rPr>
        <w:t>Journal of the American Statistical Association</w:t>
      </w:r>
      <w:r w:rsidRPr="004C5018">
        <w:rPr>
          <w:sz w:val="22"/>
          <w:szCs w:val="22"/>
        </w:rPr>
        <w:t xml:space="preserve"> 106 (493): 100–108.</w:t>
      </w:r>
    </w:p>
    <w:p w14:paraId="21099499" w14:textId="77777777" w:rsidR="00797775" w:rsidRDefault="00797775" w:rsidP="0042688D">
      <w:pPr>
        <w:contextualSpacing/>
        <w:mirrorIndents/>
        <w:jc w:val="center"/>
        <w:rPr>
          <w:sz w:val="22"/>
          <w:szCs w:val="22"/>
          <w:u w:val="single"/>
        </w:rPr>
      </w:pPr>
    </w:p>
    <w:p w14:paraId="121F5408" w14:textId="22647B1B" w:rsidR="000E1A71" w:rsidRPr="004C5018" w:rsidRDefault="000E1A71" w:rsidP="0042688D">
      <w:pPr>
        <w:contextualSpacing/>
        <w:mirrorIndents/>
        <w:jc w:val="center"/>
        <w:rPr>
          <w:sz w:val="22"/>
          <w:szCs w:val="22"/>
          <w:u w:val="single"/>
        </w:rPr>
      </w:pPr>
      <w:r w:rsidRPr="004C5018">
        <w:rPr>
          <w:sz w:val="22"/>
          <w:szCs w:val="22"/>
          <w:u w:val="single"/>
        </w:rPr>
        <w:t>Part V</w:t>
      </w:r>
      <w:r w:rsidR="00690514">
        <w:rPr>
          <w:sz w:val="22"/>
          <w:szCs w:val="22"/>
          <w:u w:val="single"/>
        </w:rPr>
        <w:t>I</w:t>
      </w:r>
      <w:r w:rsidRPr="004C5018">
        <w:rPr>
          <w:sz w:val="22"/>
          <w:szCs w:val="22"/>
          <w:u w:val="single"/>
        </w:rPr>
        <w:t>: Climate Change</w:t>
      </w:r>
    </w:p>
    <w:p w14:paraId="4F89F76F" w14:textId="7AE638E2" w:rsidR="00D26C75" w:rsidRPr="004C5018" w:rsidRDefault="00D26C75"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6D2134F4" w14:textId="09D5A804" w:rsidR="00D26C75" w:rsidRPr="004C5018" w:rsidRDefault="00AE05C3" w:rsidP="0042688D">
      <w:pPr>
        <w:pStyle w:val="NormalWeb"/>
        <w:spacing w:before="0" w:beforeAutospacing="0" w:after="0" w:afterAutospacing="0"/>
        <w:ind w:left="480" w:hanging="480"/>
        <w:contextualSpacing/>
        <w:mirrorIndents/>
        <w:rPr>
          <w:rFonts w:ascii="Times New Roman" w:hAnsi="Times New Roman"/>
          <w:i/>
          <w:color w:val="000000"/>
          <w:sz w:val="22"/>
          <w:szCs w:val="22"/>
        </w:rPr>
      </w:pPr>
      <w:r w:rsidRPr="004C5018">
        <w:rPr>
          <w:rFonts w:ascii="Times New Roman" w:hAnsi="Times New Roman"/>
          <w:i/>
          <w:color w:val="000000"/>
          <w:sz w:val="22"/>
          <w:szCs w:val="22"/>
        </w:rPr>
        <w:t>Effects of Air and Water Pollution</w:t>
      </w:r>
    </w:p>
    <w:p w14:paraId="649B52D4"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56E7734C" w14:textId="11F75434" w:rsidR="000E1A71" w:rsidRPr="004C5018" w:rsidRDefault="000E1A71"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Carleton, </w:t>
      </w:r>
      <w:proofErr w:type="spellStart"/>
      <w:r w:rsidR="004F52B0" w:rsidRPr="004C5018">
        <w:rPr>
          <w:rFonts w:ascii="Times New Roman" w:eastAsiaTheme="minorHAnsi" w:hAnsi="Times New Roman"/>
          <w:sz w:val="22"/>
          <w:szCs w:val="22"/>
        </w:rPr>
        <w:t>Tamma</w:t>
      </w:r>
      <w:proofErr w:type="spellEnd"/>
      <w:r w:rsidRPr="004C5018">
        <w:rPr>
          <w:rFonts w:ascii="Times New Roman" w:eastAsiaTheme="minorHAnsi" w:hAnsi="Times New Roman"/>
          <w:sz w:val="22"/>
          <w:szCs w:val="22"/>
        </w:rPr>
        <w:t xml:space="preserve">, and </w:t>
      </w:r>
      <w:r w:rsidR="004F52B0" w:rsidRPr="004C5018">
        <w:rPr>
          <w:rFonts w:ascii="Times New Roman" w:eastAsiaTheme="minorHAnsi" w:hAnsi="Times New Roman"/>
          <w:sz w:val="22"/>
          <w:szCs w:val="22"/>
        </w:rPr>
        <w:t>Solomon</w:t>
      </w:r>
      <w:r w:rsidRPr="004C5018">
        <w:rPr>
          <w:rFonts w:ascii="Times New Roman" w:eastAsiaTheme="minorHAnsi" w:hAnsi="Times New Roman"/>
          <w:sz w:val="22"/>
          <w:szCs w:val="22"/>
        </w:rPr>
        <w:t xml:space="preserve"> Hsiang. 2016. “Social and Economic Impacts of Climate.” </w:t>
      </w:r>
      <w:r w:rsidRPr="004C5018">
        <w:rPr>
          <w:rFonts w:ascii="Times New Roman" w:eastAsiaTheme="minorHAnsi" w:hAnsi="Times New Roman"/>
          <w:i/>
          <w:iCs/>
          <w:sz w:val="22"/>
          <w:szCs w:val="22"/>
        </w:rPr>
        <w:t>Science</w:t>
      </w:r>
      <w:r w:rsidRPr="004C5018">
        <w:rPr>
          <w:rFonts w:ascii="Times New Roman" w:eastAsiaTheme="minorHAnsi" w:hAnsi="Times New Roman"/>
          <w:sz w:val="22"/>
          <w:szCs w:val="22"/>
        </w:rPr>
        <w:t xml:space="preserve"> 353 (6304): 1112. </w:t>
      </w:r>
    </w:p>
    <w:p w14:paraId="755C5CCD"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083F13E3" w14:textId="3E0FF6F7" w:rsidR="000E1A71" w:rsidRPr="004C5018" w:rsidRDefault="000E1A71" w:rsidP="0042688D">
      <w:pPr>
        <w:pStyle w:val="NormalWeb"/>
        <w:spacing w:before="0" w:beforeAutospacing="0" w:after="0" w:afterAutospacing="0"/>
        <w:ind w:left="450" w:hanging="45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Dell, Melissa, Benjamin Jones, and Benjamin </w:t>
      </w:r>
      <w:proofErr w:type="spellStart"/>
      <w:r w:rsidRPr="004C5018">
        <w:rPr>
          <w:rFonts w:ascii="Times New Roman" w:eastAsiaTheme="minorHAnsi" w:hAnsi="Times New Roman"/>
          <w:sz w:val="22"/>
          <w:szCs w:val="22"/>
        </w:rPr>
        <w:t>Olken</w:t>
      </w:r>
      <w:proofErr w:type="spellEnd"/>
      <w:r w:rsidRPr="004C5018">
        <w:rPr>
          <w:rFonts w:ascii="Times New Roman" w:eastAsiaTheme="minorHAnsi" w:hAnsi="Times New Roman"/>
          <w:sz w:val="22"/>
          <w:szCs w:val="22"/>
        </w:rPr>
        <w:t xml:space="preserve">. 2012. “Temperature Shocks and Economic Growth: Evidence from the Last Half Century.” </w:t>
      </w:r>
      <w:r w:rsidRPr="004C5018">
        <w:rPr>
          <w:rFonts w:ascii="Times New Roman" w:eastAsiaTheme="minorHAnsi" w:hAnsi="Times New Roman"/>
          <w:i/>
          <w:sz w:val="22"/>
          <w:szCs w:val="22"/>
        </w:rPr>
        <w:t>American Economic Journal: Macroeconomics</w:t>
      </w:r>
      <w:r w:rsidRPr="004C5018">
        <w:rPr>
          <w:rFonts w:ascii="Times New Roman" w:eastAsiaTheme="minorHAnsi" w:hAnsi="Times New Roman"/>
          <w:sz w:val="22"/>
          <w:szCs w:val="22"/>
        </w:rPr>
        <w:t xml:space="preserve"> 4(3): 66-95.</w:t>
      </w:r>
    </w:p>
    <w:p w14:paraId="0582282B" w14:textId="6D4BA334" w:rsidR="00AE05C3" w:rsidRPr="004C5018" w:rsidRDefault="00AE05C3" w:rsidP="0042688D">
      <w:pPr>
        <w:pStyle w:val="NormalWeb"/>
        <w:spacing w:before="0" w:beforeAutospacing="0" w:after="0" w:afterAutospacing="0"/>
        <w:ind w:left="450" w:hanging="450"/>
        <w:contextualSpacing/>
        <w:mirrorIndents/>
        <w:rPr>
          <w:rFonts w:ascii="Times New Roman" w:eastAsiaTheme="minorHAnsi" w:hAnsi="Times New Roman"/>
          <w:sz w:val="22"/>
          <w:szCs w:val="22"/>
        </w:rPr>
      </w:pPr>
    </w:p>
    <w:p w14:paraId="4B635116" w14:textId="77777777" w:rsidR="00AE05C3" w:rsidRPr="004C5018" w:rsidRDefault="00AE05C3" w:rsidP="00AE05C3">
      <w:pPr>
        <w:ind w:left="480" w:hanging="480"/>
        <w:contextualSpacing/>
        <w:mirrorIndents/>
        <w:rPr>
          <w:sz w:val="22"/>
          <w:szCs w:val="22"/>
        </w:rPr>
      </w:pPr>
      <w:proofErr w:type="spellStart"/>
      <w:r w:rsidRPr="004C5018">
        <w:rPr>
          <w:sz w:val="22"/>
          <w:szCs w:val="22"/>
        </w:rPr>
        <w:t>Giglio</w:t>
      </w:r>
      <w:proofErr w:type="spellEnd"/>
      <w:r w:rsidRPr="004C5018">
        <w:rPr>
          <w:sz w:val="22"/>
          <w:szCs w:val="22"/>
        </w:rPr>
        <w:t xml:space="preserve">, Stefano, Matteo </w:t>
      </w:r>
      <w:proofErr w:type="spellStart"/>
      <w:r w:rsidRPr="004C5018">
        <w:rPr>
          <w:sz w:val="22"/>
          <w:szCs w:val="22"/>
        </w:rPr>
        <w:t>Maggiori</w:t>
      </w:r>
      <w:proofErr w:type="spellEnd"/>
      <w:r w:rsidRPr="004C5018">
        <w:rPr>
          <w:sz w:val="22"/>
          <w:szCs w:val="22"/>
        </w:rPr>
        <w:t xml:space="preserve">, and Johannes </w:t>
      </w:r>
      <w:proofErr w:type="spellStart"/>
      <w:r w:rsidRPr="004C5018">
        <w:rPr>
          <w:sz w:val="22"/>
          <w:szCs w:val="22"/>
        </w:rPr>
        <w:t>Stroebel</w:t>
      </w:r>
      <w:proofErr w:type="spellEnd"/>
      <w:r w:rsidRPr="004C5018">
        <w:rPr>
          <w:sz w:val="22"/>
          <w:szCs w:val="22"/>
        </w:rPr>
        <w:t xml:space="preserve">. 2015. “Very Long-Run Discount Rates.” </w:t>
      </w:r>
      <w:r w:rsidRPr="004C5018">
        <w:rPr>
          <w:i/>
          <w:iCs/>
          <w:sz w:val="22"/>
          <w:szCs w:val="22"/>
        </w:rPr>
        <w:t>Quarterly Journal of Economics</w:t>
      </w:r>
      <w:r w:rsidRPr="004C5018">
        <w:rPr>
          <w:sz w:val="22"/>
          <w:szCs w:val="22"/>
        </w:rPr>
        <w:t xml:space="preserve"> 130 (1): 1–53.</w:t>
      </w:r>
    </w:p>
    <w:p w14:paraId="3C2A8A11" w14:textId="77777777" w:rsidR="00AE05C3" w:rsidRPr="004C5018" w:rsidRDefault="00AE05C3" w:rsidP="00AE05C3">
      <w:pPr>
        <w:ind w:left="480" w:hanging="480"/>
        <w:contextualSpacing/>
        <w:mirrorIndents/>
        <w:rPr>
          <w:sz w:val="22"/>
          <w:szCs w:val="22"/>
        </w:rPr>
      </w:pPr>
    </w:p>
    <w:p w14:paraId="76EAA6CE" w14:textId="092F25F1" w:rsidR="000E1A71" w:rsidRPr="004C5018" w:rsidRDefault="000E1A71" w:rsidP="0042688D">
      <w:pPr>
        <w:ind w:left="480" w:hanging="480"/>
        <w:contextualSpacing/>
        <w:mirrorIndents/>
        <w:rPr>
          <w:sz w:val="22"/>
          <w:szCs w:val="22"/>
        </w:rPr>
      </w:pPr>
      <w:proofErr w:type="spellStart"/>
      <w:r w:rsidRPr="004C5018">
        <w:rPr>
          <w:sz w:val="22"/>
          <w:szCs w:val="22"/>
        </w:rPr>
        <w:t>Isen</w:t>
      </w:r>
      <w:proofErr w:type="spellEnd"/>
      <w:r w:rsidRPr="004C5018">
        <w:rPr>
          <w:sz w:val="22"/>
          <w:szCs w:val="22"/>
        </w:rPr>
        <w:t xml:space="preserve">, Adam, Maya </w:t>
      </w:r>
      <w:proofErr w:type="spellStart"/>
      <w:r w:rsidRPr="004C5018">
        <w:rPr>
          <w:sz w:val="22"/>
          <w:szCs w:val="22"/>
        </w:rPr>
        <w:t>Rossin</w:t>
      </w:r>
      <w:proofErr w:type="spellEnd"/>
      <w:r w:rsidRPr="004C5018">
        <w:rPr>
          <w:sz w:val="22"/>
          <w:szCs w:val="22"/>
        </w:rPr>
        <w:t>-Slater, and W</w:t>
      </w:r>
      <w:r w:rsidR="004F52B0" w:rsidRPr="004C5018">
        <w:rPr>
          <w:sz w:val="22"/>
          <w:szCs w:val="22"/>
        </w:rPr>
        <w:t>.</w:t>
      </w:r>
      <w:r w:rsidRPr="004C5018">
        <w:rPr>
          <w:sz w:val="22"/>
          <w:szCs w:val="22"/>
        </w:rPr>
        <w:t xml:space="preserve"> Reed Walker. 201</w:t>
      </w:r>
      <w:r w:rsidR="00E32A9C" w:rsidRPr="004C5018">
        <w:rPr>
          <w:sz w:val="22"/>
          <w:szCs w:val="22"/>
        </w:rPr>
        <w:t>7</w:t>
      </w:r>
      <w:r w:rsidRPr="004C5018">
        <w:rPr>
          <w:sz w:val="22"/>
          <w:szCs w:val="22"/>
        </w:rPr>
        <w:t xml:space="preserve">. “Every Breath You Take - Every Dollar You’ll Make: The Long-Term Consequences of the Clean Air Act of 1970.” </w:t>
      </w:r>
      <w:r w:rsidRPr="004C5018">
        <w:rPr>
          <w:i/>
          <w:sz w:val="22"/>
          <w:szCs w:val="22"/>
        </w:rPr>
        <w:t>Journal of Political Economy</w:t>
      </w:r>
      <w:r w:rsidR="00E32A9C" w:rsidRPr="004C5018">
        <w:rPr>
          <w:sz w:val="22"/>
          <w:szCs w:val="22"/>
        </w:rPr>
        <w:t xml:space="preserve"> 125(3): 848-909.</w:t>
      </w:r>
      <w:r w:rsidRPr="004C5018">
        <w:rPr>
          <w:sz w:val="22"/>
          <w:szCs w:val="22"/>
        </w:rPr>
        <w:t xml:space="preserve"> </w:t>
      </w:r>
      <w:hyperlink r:id="rId39" w:history="1">
        <w:r w:rsidRPr="004C5018">
          <w:rPr>
            <w:rStyle w:val="Hyperlink"/>
            <w:sz w:val="22"/>
            <w:szCs w:val="22"/>
          </w:rPr>
          <w:t>Non-technical summary</w:t>
        </w:r>
      </w:hyperlink>
      <w:r w:rsidRPr="004C5018">
        <w:rPr>
          <w:sz w:val="22"/>
          <w:szCs w:val="22"/>
        </w:rPr>
        <w:t>.</w:t>
      </w:r>
    </w:p>
    <w:p w14:paraId="6D78D8AB" w14:textId="5DDA11C8" w:rsidR="00AE05C3"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30DC2886" w14:textId="44CFB836" w:rsidR="003E72C6" w:rsidRPr="003E72C6" w:rsidRDefault="003E72C6" w:rsidP="003E72C6">
      <w:pPr>
        <w:pStyle w:val="NormalWeb"/>
        <w:ind w:left="480" w:hanging="480"/>
        <w:contextualSpacing/>
        <w:mirrorIndents/>
        <w:rPr>
          <w:rFonts w:ascii="Times New Roman" w:eastAsiaTheme="minorHAnsi" w:hAnsi="Times New Roman"/>
          <w:sz w:val="22"/>
          <w:szCs w:val="22"/>
        </w:rPr>
      </w:pPr>
      <w:r w:rsidRPr="003E72C6">
        <w:rPr>
          <w:rFonts w:ascii="Times New Roman" w:eastAsiaTheme="minorHAnsi" w:hAnsi="Times New Roman"/>
          <w:sz w:val="22"/>
          <w:szCs w:val="22"/>
        </w:rPr>
        <w:t>Moore</w:t>
      </w:r>
      <w:r>
        <w:rPr>
          <w:rFonts w:ascii="Times New Roman" w:eastAsiaTheme="minorHAnsi" w:hAnsi="Times New Roman"/>
          <w:sz w:val="22"/>
          <w:szCs w:val="22"/>
        </w:rPr>
        <w:t xml:space="preserve">, </w:t>
      </w:r>
      <w:r w:rsidRPr="003E72C6">
        <w:rPr>
          <w:rFonts w:ascii="Times New Roman" w:eastAsiaTheme="minorHAnsi" w:hAnsi="Times New Roman"/>
          <w:sz w:val="22"/>
          <w:szCs w:val="22"/>
        </w:rPr>
        <w:t>Frances C.</w:t>
      </w:r>
      <w:r>
        <w:rPr>
          <w:rFonts w:ascii="Times New Roman" w:eastAsiaTheme="minorHAnsi" w:hAnsi="Times New Roman"/>
          <w:sz w:val="22"/>
          <w:szCs w:val="22"/>
        </w:rPr>
        <w:t xml:space="preserve">, </w:t>
      </w:r>
      <w:r w:rsidRPr="003E72C6">
        <w:rPr>
          <w:rFonts w:ascii="Times New Roman" w:eastAsiaTheme="minorHAnsi" w:hAnsi="Times New Roman"/>
          <w:sz w:val="22"/>
          <w:szCs w:val="22"/>
        </w:rPr>
        <w:t xml:space="preserve">Nick </w:t>
      </w:r>
      <w:proofErr w:type="spellStart"/>
      <w:r w:rsidRPr="003E72C6">
        <w:rPr>
          <w:rFonts w:ascii="Times New Roman" w:eastAsiaTheme="minorHAnsi" w:hAnsi="Times New Roman"/>
          <w:sz w:val="22"/>
          <w:szCs w:val="22"/>
        </w:rPr>
        <w:t>Obradovich</w:t>
      </w:r>
      <w:proofErr w:type="spellEnd"/>
      <w:r>
        <w:rPr>
          <w:rFonts w:ascii="Times New Roman" w:eastAsiaTheme="minorHAnsi" w:hAnsi="Times New Roman"/>
          <w:sz w:val="22"/>
          <w:szCs w:val="22"/>
        </w:rPr>
        <w:t xml:space="preserve">, </w:t>
      </w:r>
      <w:r w:rsidR="008C6B9C" w:rsidRPr="003E72C6">
        <w:rPr>
          <w:rFonts w:ascii="Times New Roman" w:eastAsiaTheme="minorHAnsi" w:hAnsi="Times New Roman"/>
          <w:sz w:val="22"/>
          <w:szCs w:val="22"/>
        </w:rPr>
        <w:t xml:space="preserve">Flavio </w:t>
      </w:r>
      <w:proofErr w:type="spellStart"/>
      <w:r w:rsidR="008C6B9C" w:rsidRPr="003E72C6">
        <w:rPr>
          <w:rFonts w:ascii="Times New Roman" w:eastAsiaTheme="minorHAnsi" w:hAnsi="Times New Roman"/>
          <w:sz w:val="22"/>
          <w:szCs w:val="22"/>
        </w:rPr>
        <w:t>Lehner</w:t>
      </w:r>
      <w:proofErr w:type="spellEnd"/>
      <w:r w:rsidR="008C6B9C">
        <w:rPr>
          <w:rFonts w:ascii="Times New Roman" w:eastAsiaTheme="minorHAnsi" w:hAnsi="Times New Roman"/>
          <w:sz w:val="22"/>
          <w:szCs w:val="22"/>
        </w:rPr>
        <w:t xml:space="preserve">, </w:t>
      </w:r>
      <w:r w:rsidR="008C6B9C" w:rsidRPr="003E72C6">
        <w:rPr>
          <w:rFonts w:ascii="Times New Roman" w:eastAsiaTheme="minorHAnsi" w:hAnsi="Times New Roman"/>
          <w:sz w:val="22"/>
          <w:szCs w:val="22"/>
        </w:rPr>
        <w:t>Patrick Baylis</w:t>
      </w:r>
      <w:r w:rsidR="008C6B9C">
        <w:rPr>
          <w:rFonts w:ascii="Times New Roman" w:eastAsiaTheme="minorHAnsi" w:hAnsi="Times New Roman"/>
          <w:sz w:val="22"/>
          <w:szCs w:val="22"/>
        </w:rPr>
        <w:t>. 2019. “</w:t>
      </w:r>
      <w:r w:rsidRPr="003E72C6">
        <w:rPr>
          <w:rFonts w:ascii="Times New Roman" w:eastAsiaTheme="minorHAnsi" w:hAnsi="Times New Roman"/>
          <w:sz w:val="22"/>
          <w:szCs w:val="22"/>
        </w:rPr>
        <w:t>Rapidly Declining Remarkability of Temperature Anomalies May Obscure Public Perception of Climate Change</w:t>
      </w:r>
      <w:r w:rsidR="008C6B9C">
        <w:rPr>
          <w:rFonts w:ascii="Times New Roman" w:eastAsiaTheme="minorHAnsi" w:hAnsi="Times New Roman"/>
          <w:sz w:val="22"/>
          <w:szCs w:val="22"/>
        </w:rPr>
        <w:t xml:space="preserve">.” </w:t>
      </w:r>
      <w:r w:rsidR="00F01A53" w:rsidRPr="00F01A53">
        <w:rPr>
          <w:rFonts w:ascii="Times New Roman" w:eastAsiaTheme="minorHAnsi" w:hAnsi="Times New Roman"/>
          <w:i/>
          <w:sz w:val="22"/>
          <w:szCs w:val="22"/>
        </w:rPr>
        <w:t>Proceedings of the National Academy of Sciences</w:t>
      </w:r>
      <w:r w:rsidR="00F01A53">
        <w:rPr>
          <w:rFonts w:ascii="Times New Roman" w:eastAsiaTheme="minorHAnsi" w:hAnsi="Times New Roman"/>
          <w:i/>
          <w:sz w:val="22"/>
          <w:szCs w:val="22"/>
        </w:rPr>
        <w:t>,</w:t>
      </w:r>
      <w:r w:rsidR="008C6B9C">
        <w:rPr>
          <w:rFonts w:ascii="Times New Roman" w:eastAsiaTheme="minorHAnsi" w:hAnsi="Times New Roman"/>
          <w:sz w:val="22"/>
          <w:szCs w:val="22"/>
        </w:rPr>
        <w:t xml:space="preserve"> </w:t>
      </w:r>
      <w:r w:rsidR="008E3B25" w:rsidRPr="008E3B25">
        <w:rPr>
          <w:rFonts w:ascii="Times New Roman" w:eastAsiaTheme="minorHAnsi" w:hAnsi="Times New Roman"/>
          <w:sz w:val="22"/>
          <w:szCs w:val="22"/>
        </w:rPr>
        <w:t>116</w:t>
      </w:r>
      <w:r w:rsidR="008E3B25">
        <w:rPr>
          <w:rFonts w:ascii="Times New Roman" w:eastAsiaTheme="minorHAnsi" w:hAnsi="Times New Roman"/>
          <w:sz w:val="22"/>
          <w:szCs w:val="22"/>
        </w:rPr>
        <w:t>(</w:t>
      </w:r>
      <w:r w:rsidR="008E3B25" w:rsidRPr="008E3B25">
        <w:rPr>
          <w:rFonts w:ascii="Times New Roman" w:eastAsiaTheme="minorHAnsi" w:hAnsi="Times New Roman"/>
          <w:sz w:val="22"/>
          <w:szCs w:val="22"/>
        </w:rPr>
        <w:t>11</w:t>
      </w:r>
      <w:r w:rsidR="008E3B25">
        <w:rPr>
          <w:rFonts w:ascii="Times New Roman" w:eastAsiaTheme="minorHAnsi" w:hAnsi="Times New Roman"/>
          <w:sz w:val="22"/>
          <w:szCs w:val="22"/>
        </w:rPr>
        <w:t>):</w:t>
      </w:r>
      <w:r w:rsidR="008E3B25" w:rsidRPr="008E3B25">
        <w:rPr>
          <w:rFonts w:ascii="Times New Roman" w:eastAsiaTheme="minorHAnsi" w:hAnsi="Times New Roman"/>
          <w:sz w:val="22"/>
          <w:szCs w:val="22"/>
        </w:rPr>
        <w:t xml:space="preserve"> 4905–4910</w:t>
      </w:r>
      <w:r w:rsidR="008E3B25">
        <w:rPr>
          <w:rFonts w:ascii="Times New Roman" w:eastAsiaTheme="minorHAnsi" w:hAnsi="Times New Roman"/>
          <w:sz w:val="22"/>
          <w:szCs w:val="22"/>
        </w:rPr>
        <w:t>.</w:t>
      </w:r>
    </w:p>
    <w:p w14:paraId="57386132" w14:textId="77777777" w:rsidR="003E72C6" w:rsidRPr="004C5018" w:rsidRDefault="003E72C6" w:rsidP="008C6B9C">
      <w:pPr>
        <w:pStyle w:val="NormalWeb"/>
        <w:spacing w:before="0" w:beforeAutospacing="0" w:after="0" w:afterAutospacing="0"/>
        <w:contextualSpacing/>
        <w:mirrorIndents/>
        <w:rPr>
          <w:rFonts w:ascii="Times New Roman" w:eastAsiaTheme="minorHAnsi" w:hAnsi="Times New Roman"/>
          <w:sz w:val="22"/>
          <w:szCs w:val="22"/>
        </w:rPr>
      </w:pPr>
    </w:p>
    <w:p w14:paraId="2A88ACB8"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i/>
          <w:sz w:val="22"/>
          <w:szCs w:val="22"/>
        </w:rPr>
      </w:pPr>
      <w:r w:rsidRPr="004C5018">
        <w:rPr>
          <w:rFonts w:ascii="Times New Roman" w:hAnsi="Times New Roman"/>
          <w:i/>
          <w:color w:val="000000"/>
          <w:sz w:val="22"/>
          <w:szCs w:val="22"/>
        </w:rPr>
        <w:t>Policies to Mitigate Climate Change</w:t>
      </w:r>
      <w:r w:rsidRPr="004C5018">
        <w:rPr>
          <w:rFonts w:ascii="Times New Roman" w:eastAsiaTheme="minorHAnsi" w:hAnsi="Times New Roman"/>
          <w:i/>
          <w:sz w:val="22"/>
          <w:szCs w:val="22"/>
        </w:rPr>
        <w:t xml:space="preserve"> </w:t>
      </w:r>
    </w:p>
    <w:p w14:paraId="58A80200" w14:textId="77777777" w:rsidR="00AE05C3" w:rsidRPr="004C5018" w:rsidRDefault="00AE05C3" w:rsidP="0042688D">
      <w:pPr>
        <w:pStyle w:val="NormalWeb"/>
        <w:spacing w:before="0" w:beforeAutospacing="0" w:after="0" w:afterAutospacing="0"/>
        <w:ind w:left="480" w:hanging="480"/>
        <w:contextualSpacing/>
        <w:mirrorIndents/>
        <w:rPr>
          <w:rFonts w:ascii="Times New Roman" w:eastAsiaTheme="minorHAnsi" w:hAnsi="Times New Roman"/>
          <w:sz w:val="22"/>
          <w:szCs w:val="22"/>
        </w:rPr>
      </w:pPr>
    </w:p>
    <w:p w14:paraId="7113B3B0" w14:textId="51384670" w:rsidR="000E1A71" w:rsidRPr="004C5018" w:rsidRDefault="000E1A71" w:rsidP="0042688D">
      <w:pPr>
        <w:ind w:left="480" w:hanging="480"/>
        <w:contextualSpacing/>
        <w:mirrorIndents/>
        <w:rPr>
          <w:sz w:val="22"/>
          <w:szCs w:val="22"/>
        </w:rPr>
      </w:pPr>
      <w:proofErr w:type="spellStart"/>
      <w:r w:rsidRPr="004C5018">
        <w:rPr>
          <w:sz w:val="22"/>
          <w:szCs w:val="22"/>
        </w:rPr>
        <w:t>Allcott</w:t>
      </w:r>
      <w:proofErr w:type="spellEnd"/>
      <w:r w:rsidRPr="004C5018">
        <w:rPr>
          <w:sz w:val="22"/>
          <w:szCs w:val="22"/>
        </w:rPr>
        <w:t xml:space="preserve">, Hunt, and Todd Rogers. 2014. “The Short-Run and Long-Run Effects of Behavioral Interventions: Experimental Evidence from Energy Conservation.” </w:t>
      </w:r>
      <w:r w:rsidRPr="004C5018">
        <w:rPr>
          <w:i/>
          <w:iCs/>
          <w:sz w:val="22"/>
          <w:szCs w:val="22"/>
        </w:rPr>
        <w:t>American Economic Review</w:t>
      </w:r>
      <w:r w:rsidRPr="004C5018">
        <w:rPr>
          <w:sz w:val="22"/>
          <w:szCs w:val="22"/>
        </w:rPr>
        <w:t xml:space="preserve"> 104(10): 3003–37.</w:t>
      </w:r>
    </w:p>
    <w:p w14:paraId="21FCCC8B" w14:textId="77777777" w:rsidR="00AE05C3" w:rsidRPr="004C5018" w:rsidRDefault="00AE05C3" w:rsidP="0042688D">
      <w:pPr>
        <w:ind w:left="480" w:hanging="480"/>
        <w:contextualSpacing/>
        <w:mirrorIndents/>
        <w:rPr>
          <w:sz w:val="22"/>
          <w:szCs w:val="22"/>
        </w:rPr>
      </w:pPr>
    </w:p>
    <w:p w14:paraId="30B1C83D" w14:textId="77777777" w:rsidR="000E1A71" w:rsidRPr="004C5018" w:rsidRDefault="000E1A71" w:rsidP="0042688D">
      <w:pPr>
        <w:ind w:left="480" w:hanging="480"/>
        <w:contextualSpacing/>
        <w:mirrorIndents/>
        <w:rPr>
          <w:sz w:val="22"/>
          <w:szCs w:val="22"/>
        </w:rPr>
      </w:pPr>
      <w:r w:rsidRPr="004C5018">
        <w:rPr>
          <w:sz w:val="22"/>
          <w:szCs w:val="22"/>
        </w:rPr>
        <w:t xml:space="preserve">Doyle, Joseph J., and </w:t>
      </w:r>
      <w:proofErr w:type="spellStart"/>
      <w:r w:rsidRPr="004C5018">
        <w:rPr>
          <w:sz w:val="22"/>
          <w:szCs w:val="22"/>
        </w:rPr>
        <w:t>Krislert</w:t>
      </w:r>
      <w:proofErr w:type="spellEnd"/>
      <w:r w:rsidRPr="004C5018">
        <w:rPr>
          <w:sz w:val="22"/>
          <w:szCs w:val="22"/>
        </w:rPr>
        <w:t xml:space="preserve"> </w:t>
      </w:r>
      <w:proofErr w:type="spellStart"/>
      <w:r w:rsidRPr="004C5018">
        <w:rPr>
          <w:sz w:val="22"/>
          <w:szCs w:val="22"/>
        </w:rPr>
        <w:t>Samphantharak</w:t>
      </w:r>
      <w:proofErr w:type="spellEnd"/>
      <w:r w:rsidRPr="004C5018">
        <w:rPr>
          <w:sz w:val="22"/>
          <w:szCs w:val="22"/>
        </w:rPr>
        <w:t xml:space="preserve">. 2008. “$2.00 Gas! Studying the Effects of a Gas Tax Moratorium.” </w:t>
      </w:r>
      <w:r w:rsidRPr="004C5018">
        <w:rPr>
          <w:i/>
          <w:iCs/>
          <w:sz w:val="22"/>
          <w:szCs w:val="22"/>
        </w:rPr>
        <w:t>Journal of Public Economics</w:t>
      </w:r>
      <w:r w:rsidRPr="004C5018">
        <w:rPr>
          <w:sz w:val="22"/>
          <w:szCs w:val="22"/>
        </w:rPr>
        <w:t xml:space="preserve"> 92 (3-4): 869–84. </w:t>
      </w:r>
    </w:p>
    <w:p w14:paraId="790BEBDC" w14:textId="77777777" w:rsidR="00AE05C3" w:rsidRPr="004C5018" w:rsidRDefault="00AE05C3" w:rsidP="00AE05C3">
      <w:pPr>
        <w:ind w:left="480" w:hanging="480"/>
        <w:contextualSpacing/>
        <w:mirrorIndents/>
        <w:rPr>
          <w:sz w:val="22"/>
          <w:szCs w:val="22"/>
        </w:rPr>
      </w:pPr>
    </w:p>
    <w:p w14:paraId="3D8F8033" w14:textId="427AB8AF" w:rsidR="00AE05C3" w:rsidRPr="004C5018" w:rsidRDefault="00AE05C3" w:rsidP="00AE05C3">
      <w:pPr>
        <w:ind w:left="480" w:hanging="480"/>
        <w:contextualSpacing/>
        <w:mirrorIndents/>
        <w:rPr>
          <w:sz w:val="22"/>
          <w:szCs w:val="22"/>
        </w:rPr>
      </w:pPr>
      <w:r w:rsidRPr="004C5018">
        <w:rPr>
          <w:sz w:val="22"/>
          <w:szCs w:val="22"/>
        </w:rPr>
        <w:t xml:space="preserve">Gallagher, Kelly Sims, and Erich </w:t>
      </w:r>
      <w:proofErr w:type="spellStart"/>
      <w:r w:rsidRPr="004C5018">
        <w:rPr>
          <w:sz w:val="22"/>
          <w:szCs w:val="22"/>
        </w:rPr>
        <w:t>Muehlegger</w:t>
      </w:r>
      <w:proofErr w:type="spellEnd"/>
      <w:r w:rsidRPr="004C5018">
        <w:rPr>
          <w:sz w:val="22"/>
          <w:szCs w:val="22"/>
        </w:rPr>
        <w:t xml:space="preserve">. 2011. “Giving Green to Get Green? Incentives and Consumer Adoption of Hybrid Vehicle Technology.” </w:t>
      </w:r>
      <w:r w:rsidRPr="004C5018">
        <w:rPr>
          <w:i/>
          <w:iCs/>
          <w:sz w:val="22"/>
          <w:szCs w:val="22"/>
        </w:rPr>
        <w:t>Journal of Environmental Economics and Management</w:t>
      </w:r>
      <w:r w:rsidRPr="004C5018">
        <w:rPr>
          <w:sz w:val="22"/>
          <w:szCs w:val="22"/>
        </w:rPr>
        <w:t xml:space="preserve"> 61 (1):1–15. </w:t>
      </w:r>
    </w:p>
    <w:p w14:paraId="15CC6E7F" w14:textId="77777777" w:rsidR="00AE05C3" w:rsidRPr="004C5018" w:rsidRDefault="00AE05C3" w:rsidP="00AE05C3">
      <w:pPr>
        <w:contextualSpacing/>
        <w:mirrorIndents/>
        <w:rPr>
          <w:b/>
          <w:sz w:val="22"/>
          <w:szCs w:val="22"/>
        </w:rPr>
      </w:pPr>
    </w:p>
    <w:p w14:paraId="2F5B973D" w14:textId="36312104" w:rsidR="000E1A71" w:rsidRPr="004C5018" w:rsidRDefault="000E1A71" w:rsidP="0042688D">
      <w:pPr>
        <w:ind w:left="480" w:hanging="480"/>
        <w:contextualSpacing/>
        <w:mirrorIndents/>
        <w:rPr>
          <w:b/>
          <w:sz w:val="22"/>
          <w:szCs w:val="22"/>
        </w:rPr>
      </w:pPr>
      <w:r w:rsidRPr="004C5018">
        <w:rPr>
          <w:b/>
          <w:sz w:val="22"/>
          <w:szCs w:val="22"/>
        </w:rPr>
        <w:t xml:space="preserve">Ito, Koichiro. 2014. “Do Consumers Respond to Marginal or Average Price? Evidence from Nonlinear Electricity Pricing.” </w:t>
      </w:r>
      <w:r w:rsidRPr="004C5018">
        <w:rPr>
          <w:b/>
          <w:i/>
          <w:iCs/>
          <w:sz w:val="22"/>
          <w:szCs w:val="22"/>
        </w:rPr>
        <w:t>American Economic Review</w:t>
      </w:r>
      <w:r w:rsidRPr="004C5018">
        <w:rPr>
          <w:b/>
          <w:sz w:val="22"/>
          <w:szCs w:val="22"/>
        </w:rPr>
        <w:t xml:space="preserve"> 104 (2): 537–63.</w:t>
      </w:r>
    </w:p>
    <w:p w14:paraId="7A7A057A" w14:textId="77777777" w:rsidR="00AE05C3" w:rsidRPr="004C5018" w:rsidRDefault="00AE05C3" w:rsidP="0042688D">
      <w:pPr>
        <w:ind w:left="480" w:hanging="480"/>
        <w:contextualSpacing/>
        <w:mirrorIndents/>
        <w:rPr>
          <w:sz w:val="22"/>
          <w:szCs w:val="22"/>
        </w:rPr>
      </w:pPr>
    </w:p>
    <w:p w14:paraId="2C28666A" w14:textId="77777777" w:rsidR="000E1A71" w:rsidRPr="004C5018" w:rsidRDefault="000E1A71" w:rsidP="0042688D">
      <w:pPr>
        <w:ind w:left="720" w:hanging="720"/>
        <w:contextualSpacing/>
        <w:mirrorIndents/>
        <w:rPr>
          <w:sz w:val="22"/>
          <w:szCs w:val="22"/>
        </w:rPr>
      </w:pPr>
      <w:r w:rsidRPr="004C5018">
        <w:rPr>
          <w:sz w:val="22"/>
          <w:szCs w:val="22"/>
        </w:rPr>
        <w:t xml:space="preserve">Li, </w:t>
      </w:r>
      <w:proofErr w:type="spellStart"/>
      <w:r w:rsidRPr="004C5018">
        <w:rPr>
          <w:sz w:val="22"/>
          <w:szCs w:val="22"/>
        </w:rPr>
        <w:t>Shanjun</w:t>
      </w:r>
      <w:proofErr w:type="spellEnd"/>
      <w:r w:rsidRPr="004C5018">
        <w:rPr>
          <w:sz w:val="22"/>
          <w:szCs w:val="22"/>
        </w:rPr>
        <w:t xml:space="preserve">, Joshua Linn, and Erich </w:t>
      </w:r>
      <w:proofErr w:type="spellStart"/>
      <w:r w:rsidRPr="004C5018">
        <w:rPr>
          <w:sz w:val="22"/>
          <w:szCs w:val="22"/>
        </w:rPr>
        <w:t>Muehlegger</w:t>
      </w:r>
      <w:proofErr w:type="spellEnd"/>
      <w:r w:rsidRPr="004C5018">
        <w:rPr>
          <w:sz w:val="22"/>
          <w:szCs w:val="22"/>
        </w:rPr>
        <w:t xml:space="preserve">. 2014. “Gasoline Taxes and Consumer Behavior.” </w:t>
      </w:r>
      <w:r w:rsidRPr="004C5018">
        <w:rPr>
          <w:i/>
          <w:iCs/>
          <w:sz w:val="22"/>
          <w:szCs w:val="22"/>
        </w:rPr>
        <w:t>American Economic Journal: Economic Policy</w:t>
      </w:r>
      <w:r w:rsidRPr="004C5018">
        <w:rPr>
          <w:sz w:val="22"/>
          <w:szCs w:val="22"/>
        </w:rPr>
        <w:t xml:space="preserve"> 6 (4): 302–42</w:t>
      </w:r>
    </w:p>
    <w:p w14:paraId="24EDC1A8" w14:textId="15C7736C" w:rsidR="000E1A71" w:rsidRPr="004C5018" w:rsidRDefault="000E1A71" w:rsidP="0042688D">
      <w:pPr>
        <w:contextualSpacing/>
        <w:mirrorIndents/>
        <w:rPr>
          <w:sz w:val="22"/>
          <w:szCs w:val="22"/>
        </w:rPr>
      </w:pPr>
    </w:p>
    <w:p w14:paraId="67759CF9" w14:textId="77777777" w:rsidR="00AE05C3" w:rsidRPr="004C5018" w:rsidRDefault="00AE05C3" w:rsidP="00AE05C3">
      <w:pPr>
        <w:pStyle w:val="NormalWeb"/>
        <w:spacing w:before="0" w:beforeAutospacing="0" w:after="0" w:afterAutospacing="0"/>
        <w:ind w:left="480" w:hanging="480"/>
        <w:contextualSpacing/>
        <w:mirrorIndents/>
        <w:rPr>
          <w:rFonts w:ascii="Times New Roman" w:eastAsiaTheme="minorHAnsi" w:hAnsi="Times New Roman"/>
          <w:sz w:val="22"/>
          <w:szCs w:val="22"/>
        </w:rPr>
      </w:pPr>
      <w:r w:rsidRPr="004C5018">
        <w:rPr>
          <w:rFonts w:ascii="Times New Roman" w:eastAsiaTheme="minorHAnsi" w:hAnsi="Times New Roman"/>
          <w:sz w:val="22"/>
          <w:szCs w:val="22"/>
        </w:rPr>
        <w:t xml:space="preserve">Schultz, P. Wesley, Jessica M. Nolan, Robert B. Cialdini, Noah J. Goldstein, and </w:t>
      </w:r>
      <w:proofErr w:type="spellStart"/>
      <w:r w:rsidRPr="004C5018">
        <w:rPr>
          <w:rFonts w:ascii="Times New Roman" w:eastAsiaTheme="minorHAnsi" w:hAnsi="Times New Roman"/>
          <w:sz w:val="22"/>
          <w:szCs w:val="22"/>
        </w:rPr>
        <w:t>Vladas</w:t>
      </w:r>
      <w:proofErr w:type="spellEnd"/>
      <w:r w:rsidRPr="004C5018">
        <w:rPr>
          <w:rFonts w:ascii="Times New Roman" w:eastAsiaTheme="minorHAnsi" w:hAnsi="Times New Roman"/>
          <w:sz w:val="22"/>
          <w:szCs w:val="22"/>
        </w:rPr>
        <w:t xml:space="preserve"> </w:t>
      </w:r>
      <w:proofErr w:type="spellStart"/>
      <w:r w:rsidRPr="004C5018">
        <w:rPr>
          <w:rFonts w:ascii="Times New Roman" w:eastAsiaTheme="minorHAnsi" w:hAnsi="Times New Roman"/>
          <w:sz w:val="22"/>
          <w:szCs w:val="22"/>
        </w:rPr>
        <w:t>Griskevicius</w:t>
      </w:r>
      <w:proofErr w:type="spellEnd"/>
      <w:r w:rsidRPr="004C5018">
        <w:rPr>
          <w:rFonts w:ascii="Times New Roman" w:eastAsiaTheme="minorHAnsi" w:hAnsi="Times New Roman"/>
          <w:sz w:val="22"/>
          <w:szCs w:val="22"/>
        </w:rPr>
        <w:t xml:space="preserve">. 2007. “The Constructive, Destructive, and Reconstructive Power of Social Norms.” </w:t>
      </w:r>
      <w:r w:rsidRPr="004C5018">
        <w:rPr>
          <w:rFonts w:ascii="Times New Roman" w:eastAsiaTheme="minorHAnsi" w:hAnsi="Times New Roman"/>
          <w:i/>
          <w:iCs/>
          <w:sz w:val="22"/>
          <w:szCs w:val="22"/>
        </w:rPr>
        <w:t>Psychological Science</w:t>
      </w:r>
      <w:r w:rsidRPr="004C5018">
        <w:rPr>
          <w:rFonts w:ascii="Times New Roman" w:eastAsiaTheme="minorHAnsi" w:hAnsi="Times New Roman"/>
          <w:sz w:val="22"/>
          <w:szCs w:val="22"/>
        </w:rPr>
        <w:t xml:space="preserve"> 18 (5): 429–34. </w:t>
      </w:r>
    </w:p>
    <w:p w14:paraId="4566DA09" w14:textId="72E5EA4D" w:rsidR="00AE05C3" w:rsidRDefault="00AE05C3" w:rsidP="0042688D">
      <w:pPr>
        <w:contextualSpacing/>
        <w:mirrorIndents/>
        <w:rPr>
          <w:sz w:val="22"/>
          <w:szCs w:val="22"/>
        </w:rPr>
      </w:pPr>
    </w:p>
    <w:p w14:paraId="202DFE34" w14:textId="5E41EE6C" w:rsidR="00690514" w:rsidRPr="004C5018" w:rsidRDefault="00690514" w:rsidP="00690514">
      <w:pPr>
        <w:contextualSpacing/>
        <w:mirrorIndents/>
        <w:jc w:val="center"/>
        <w:rPr>
          <w:sz w:val="22"/>
          <w:szCs w:val="22"/>
          <w:u w:val="single"/>
        </w:rPr>
      </w:pPr>
      <w:r w:rsidRPr="004C5018">
        <w:rPr>
          <w:sz w:val="22"/>
          <w:szCs w:val="22"/>
          <w:u w:val="single"/>
        </w:rPr>
        <w:t>Part VI</w:t>
      </w:r>
      <w:r>
        <w:rPr>
          <w:sz w:val="22"/>
          <w:szCs w:val="22"/>
          <w:u w:val="single"/>
        </w:rPr>
        <w:t>I</w:t>
      </w:r>
      <w:r w:rsidRPr="004C5018">
        <w:rPr>
          <w:sz w:val="22"/>
          <w:szCs w:val="22"/>
          <w:u w:val="single"/>
        </w:rPr>
        <w:t>: Tax Policy</w:t>
      </w:r>
    </w:p>
    <w:p w14:paraId="1F7DCC76" w14:textId="77777777" w:rsidR="00690514" w:rsidRPr="004C5018" w:rsidRDefault="00690514" w:rsidP="00690514">
      <w:pPr>
        <w:contextualSpacing/>
        <w:mirrorIndents/>
        <w:jc w:val="both"/>
        <w:rPr>
          <w:sz w:val="22"/>
          <w:szCs w:val="22"/>
        </w:rPr>
      </w:pPr>
    </w:p>
    <w:p w14:paraId="38198DDB" w14:textId="77777777" w:rsidR="00690514" w:rsidRPr="004C5018" w:rsidRDefault="00690514" w:rsidP="00690514">
      <w:pPr>
        <w:ind w:left="540" w:hanging="540"/>
        <w:contextualSpacing/>
        <w:mirrorIndents/>
        <w:rPr>
          <w:i/>
          <w:sz w:val="22"/>
          <w:szCs w:val="22"/>
        </w:rPr>
      </w:pPr>
      <w:r w:rsidRPr="004C5018">
        <w:rPr>
          <w:i/>
          <w:color w:val="000000"/>
          <w:sz w:val="22"/>
          <w:szCs w:val="22"/>
        </w:rPr>
        <w:t>Income Taxation</w:t>
      </w:r>
      <w:r w:rsidRPr="004C5018">
        <w:rPr>
          <w:i/>
          <w:sz w:val="22"/>
          <w:szCs w:val="22"/>
        </w:rPr>
        <w:t xml:space="preserve"> </w:t>
      </w:r>
    </w:p>
    <w:p w14:paraId="4763CCDF" w14:textId="77777777" w:rsidR="00690514" w:rsidRPr="004C5018" w:rsidRDefault="00690514" w:rsidP="00690514">
      <w:pPr>
        <w:ind w:left="540" w:hanging="540"/>
        <w:contextualSpacing/>
        <w:mirrorIndents/>
        <w:rPr>
          <w:sz w:val="22"/>
          <w:szCs w:val="22"/>
        </w:rPr>
      </w:pPr>
    </w:p>
    <w:p w14:paraId="5AB75755" w14:textId="77777777" w:rsidR="00690514" w:rsidRPr="004C5018" w:rsidRDefault="00690514" w:rsidP="00690514">
      <w:pPr>
        <w:ind w:left="540" w:hanging="540"/>
        <w:contextualSpacing/>
        <w:mirrorIndents/>
        <w:rPr>
          <w:sz w:val="22"/>
          <w:szCs w:val="22"/>
        </w:rPr>
      </w:pPr>
      <w:proofErr w:type="spellStart"/>
      <w:r w:rsidRPr="004C5018">
        <w:rPr>
          <w:sz w:val="22"/>
          <w:szCs w:val="22"/>
        </w:rPr>
        <w:t>Alesina</w:t>
      </w:r>
      <w:proofErr w:type="spellEnd"/>
      <w:r w:rsidRPr="004C5018">
        <w:rPr>
          <w:sz w:val="22"/>
          <w:szCs w:val="22"/>
        </w:rPr>
        <w:t xml:space="preserve">, Alberto, Stefanie </w:t>
      </w:r>
      <w:proofErr w:type="spellStart"/>
      <w:r w:rsidRPr="004C5018">
        <w:rPr>
          <w:sz w:val="22"/>
          <w:szCs w:val="22"/>
        </w:rPr>
        <w:t>Stantcheva</w:t>
      </w:r>
      <w:proofErr w:type="spellEnd"/>
      <w:r w:rsidRPr="004C5018">
        <w:rPr>
          <w:sz w:val="22"/>
          <w:szCs w:val="22"/>
        </w:rPr>
        <w:t xml:space="preserve">, and </w:t>
      </w:r>
      <w:proofErr w:type="spellStart"/>
      <w:r w:rsidRPr="004C5018">
        <w:rPr>
          <w:sz w:val="22"/>
          <w:szCs w:val="22"/>
        </w:rPr>
        <w:t>Edoardo</w:t>
      </w:r>
      <w:proofErr w:type="spellEnd"/>
      <w:r w:rsidRPr="004C5018">
        <w:rPr>
          <w:sz w:val="22"/>
          <w:szCs w:val="22"/>
        </w:rPr>
        <w:t xml:space="preserve"> </w:t>
      </w:r>
      <w:proofErr w:type="spellStart"/>
      <w:r w:rsidRPr="004C5018">
        <w:rPr>
          <w:sz w:val="22"/>
          <w:szCs w:val="22"/>
        </w:rPr>
        <w:t>Teso</w:t>
      </w:r>
      <w:proofErr w:type="spellEnd"/>
      <w:r w:rsidRPr="004C5018">
        <w:rPr>
          <w:sz w:val="22"/>
          <w:szCs w:val="22"/>
        </w:rPr>
        <w:t xml:space="preserve">. 2018. “Intergenerational Mobility and Preferences for Redistribution.” </w:t>
      </w:r>
      <w:r w:rsidRPr="004C5018">
        <w:rPr>
          <w:i/>
          <w:sz w:val="22"/>
          <w:szCs w:val="22"/>
        </w:rPr>
        <w:t>American Economic Review</w:t>
      </w:r>
      <w:r w:rsidRPr="004C5018">
        <w:rPr>
          <w:sz w:val="22"/>
          <w:szCs w:val="22"/>
        </w:rPr>
        <w:t xml:space="preserve"> 108(2): 521–554</w:t>
      </w:r>
    </w:p>
    <w:p w14:paraId="469E4D4B" w14:textId="77777777" w:rsidR="00690514" w:rsidRPr="004C5018" w:rsidRDefault="00690514" w:rsidP="00690514">
      <w:pPr>
        <w:ind w:left="540" w:hanging="540"/>
        <w:contextualSpacing/>
        <w:mirrorIndents/>
        <w:rPr>
          <w:sz w:val="22"/>
          <w:szCs w:val="22"/>
        </w:rPr>
      </w:pPr>
    </w:p>
    <w:p w14:paraId="420801ED" w14:textId="77777777" w:rsidR="00690514" w:rsidRPr="004C5018" w:rsidRDefault="00690514" w:rsidP="00690514">
      <w:pPr>
        <w:ind w:left="540" w:hanging="540"/>
        <w:contextualSpacing/>
        <w:mirrorIndents/>
        <w:rPr>
          <w:sz w:val="22"/>
          <w:szCs w:val="22"/>
        </w:rPr>
      </w:pPr>
      <w:proofErr w:type="spellStart"/>
      <w:r w:rsidRPr="004C5018">
        <w:rPr>
          <w:sz w:val="22"/>
          <w:szCs w:val="22"/>
        </w:rPr>
        <w:t>Chetty</w:t>
      </w:r>
      <w:proofErr w:type="spellEnd"/>
      <w:r w:rsidRPr="004C5018">
        <w:rPr>
          <w:sz w:val="22"/>
          <w:szCs w:val="22"/>
        </w:rPr>
        <w:t xml:space="preserve">, Raj, Emmanuel </w:t>
      </w:r>
      <w:proofErr w:type="spellStart"/>
      <w:r w:rsidRPr="004C5018">
        <w:rPr>
          <w:sz w:val="22"/>
          <w:szCs w:val="22"/>
        </w:rPr>
        <w:t>Saez</w:t>
      </w:r>
      <w:proofErr w:type="spellEnd"/>
      <w:r w:rsidRPr="004C5018">
        <w:rPr>
          <w:sz w:val="22"/>
          <w:szCs w:val="22"/>
        </w:rPr>
        <w:t xml:space="preserve">, and John Friedman. 2013. “Using Differences in Knowledge Across Neighborhoods to Uncover the Impacts of the EITC on Earnings.” </w:t>
      </w:r>
      <w:r w:rsidRPr="004C5018">
        <w:rPr>
          <w:i/>
          <w:sz w:val="22"/>
          <w:szCs w:val="22"/>
        </w:rPr>
        <w:t>American Economic Review</w:t>
      </w:r>
      <w:r w:rsidRPr="004C5018">
        <w:rPr>
          <w:sz w:val="22"/>
          <w:szCs w:val="22"/>
        </w:rPr>
        <w:t>, 103(7): 2683-2721.</w:t>
      </w:r>
    </w:p>
    <w:p w14:paraId="483EA61B" w14:textId="77777777" w:rsidR="00690514" w:rsidRPr="004C5018" w:rsidRDefault="00690514" w:rsidP="00690514">
      <w:pPr>
        <w:ind w:left="540" w:hanging="540"/>
        <w:contextualSpacing/>
        <w:mirrorIndents/>
        <w:jc w:val="both"/>
        <w:rPr>
          <w:sz w:val="22"/>
          <w:szCs w:val="22"/>
        </w:rPr>
      </w:pPr>
    </w:p>
    <w:p w14:paraId="26773ED0" w14:textId="77777777" w:rsidR="00690514" w:rsidRPr="004C5018" w:rsidRDefault="00690514" w:rsidP="00690514">
      <w:pPr>
        <w:ind w:left="540" w:hanging="540"/>
        <w:contextualSpacing/>
        <w:mirrorIndents/>
        <w:jc w:val="both"/>
        <w:rPr>
          <w:sz w:val="22"/>
          <w:szCs w:val="22"/>
        </w:rPr>
      </w:pPr>
      <w:r w:rsidRPr="004C5018">
        <w:rPr>
          <w:sz w:val="22"/>
          <w:szCs w:val="22"/>
        </w:rPr>
        <w:t xml:space="preserve">Chetty, Raj, Adam Looney, and Kory Kroft. 2009. “Salience and Taxation: Theory and Evidence,” </w:t>
      </w:r>
      <w:r w:rsidRPr="004C5018">
        <w:rPr>
          <w:i/>
          <w:sz w:val="22"/>
          <w:szCs w:val="22"/>
        </w:rPr>
        <w:t>American Economic Review</w:t>
      </w:r>
      <w:r w:rsidRPr="004C5018">
        <w:rPr>
          <w:sz w:val="22"/>
          <w:szCs w:val="22"/>
        </w:rPr>
        <w:t xml:space="preserve"> 99(4): 1145-77.</w:t>
      </w:r>
    </w:p>
    <w:p w14:paraId="47B185B5" w14:textId="77777777" w:rsidR="00690514" w:rsidRPr="004C5018" w:rsidRDefault="00690514" w:rsidP="00690514">
      <w:pPr>
        <w:contextualSpacing/>
        <w:mirrorIndents/>
        <w:rPr>
          <w:b/>
          <w:sz w:val="22"/>
          <w:szCs w:val="22"/>
        </w:rPr>
      </w:pPr>
    </w:p>
    <w:p w14:paraId="006349EC" w14:textId="77777777" w:rsidR="00690514" w:rsidRPr="004C5018" w:rsidRDefault="00690514" w:rsidP="00690514">
      <w:pPr>
        <w:ind w:left="540" w:hanging="540"/>
        <w:contextualSpacing/>
        <w:mirrorIndents/>
        <w:rPr>
          <w:b/>
          <w:sz w:val="22"/>
          <w:szCs w:val="22"/>
        </w:rPr>
      </w:pPr>
      <w:r w:rsidRPr="004C5018">
        <w:rPr>
          <w:b/>
          <w:sz w:val="22"/>
          <w:szCs w:val="22"/>
        </w:rPr>
        <w:t xml:space="preserve">Diamond, Peter and Emmanuel </w:t>
      </w:r>
      <w:proofErr w:type="spellStart"/>
      <w:r w:rsidRPr="004C5018">
        <w:rPr>
          <w:b/>
          <w:sz w:val="22"/>
          <w:szCs w:val="22"/>
        </w:rPr>
        <w:t>Saez</w:t>
      </w:r>
      <w:proofErr w:type="spellEnd"/>
      <w:r w:rsidRPr="004C5018">
        <w:rPr>
          <w:b/>
          <w:sz w:val="22"/>
          <w:szCs w:val="22"/>
        </w:rPr>
        <w:t xml:space="preserve">. </w:t>
      </w:r>
      <w:hyperlink r:id="rId40" w:history="1">
        <w:r w:rsidRPr="004C5018">
          <w:rPr>
            <w:rStyle w:val="Hyperlink"/>
            <w:b/>
            <w:sz w:val="22"/>
            <w:szCs w:val="22"/>
          </w:rPr>
          <w:t>“The Case for a Progressive Tax: From Basic Research to Policy Recommendations.”</w:t>
        </w:r>
      </w:hyperlink>
      <w:r w:rsidRPr="004C5018">
        <w:rPr>
          <w:b/>
          <w:sz w:val="22"/>
          <w:szCs w:val="22"/>
        </w:rPr>
        <w:t xml:space="preserve"> </w:t>
      </w:r>
      <w:r w:rsidRPr="004C5018">
        <w:rPr>
          <w:b/>
          <w:i/>
          <w:sz w:val="22"/>
          <w:szCs w:val="22"/>
        </w:rPr>
        <w:t>Journal of Economic Perspectives</w:t>
      </w:r>
      <w:r w:rsidRPr="004C5018">
        <w:rPr>
          <w:b/>
          <w:sz w:val="22"/>
          <w:szCs w:val="22"/>
        </w:rPr>
        <w:t xml:space="preserve"> 25(4): 165–190.</w:t>
      </w:r>
    </w:p>
    <w:p w14:paraId="7C179C0D" w14:textId="77777777" w:rsidR="00690514" w:rsidRPr="004C5018" w:rsidRDefault="00690514" w:rsidP="00690514">
      <w:pPr>
        <w:contextualSpacing/>
        <w:mirrorIndents/>
        <w:rPr>
          <w:sz w:val="22"/>
          <w:szCs w:val="22"/>
        </w:rPr>
      </w:pPr>
    </w:p>
    <w:p w14:paraId="30CA9D34" w14:textId="77777777" w:rsidR="00690514" w:rsidRPr="004C5018" w:rsidRDefault="00690514" w:rsidP="00690514">
      <w:pPr>
        <w:ind w:left="540" w:hanging="540"/>
        <w:contextualSpacing/>
        <w:mirrorIndents/>
        <w:rPr>
          <w:i/>
          <w:sz w:val="22"/>
          <w:szCs w:val="22"/>
        </w:rPr>
      </w:pPr>
      <w:r w:rsidRPr="004C5018">
        <w:rPr>
          <w:i/>
          <w:color w:val="000000"/>
          <w:sz w:val="22"/>
          <w:szCs w:val="22"/>
        </w:rPr>
        <w:t>Savings and Wealth</w:t>
      </w:r>
    </w:p>
    <w:p w14:paraId="67FDAD21" w14:textId="77777777" w:rsidR="00690514" w:rsidRPr="004C5018" w:rsidRDefault="00690514" w:rsidP="00690514">
      <w:pPr>
        <w:ind w:left="540" w:hanging="540"/>
        <w:contextualSpacing/>
        <w:mirrorIndents/>
        <w:rPr>
          <w:sz w:val="22"/>
          <w:szCs w:val="22"/>
        </w:rPr>
      </w:pPr>
    </w:p>
    <w:p w14:paraId="09E7B1A5" w14:textId="77777777" w:rsidR="00690514" w:rsidRPr="004C5018" w:rsidRDefault="00690514" w:rsidP="00690514">
      <w:pPr>
        <w:ind w:left="540" w:hanging="540"/>
        <w:contextualSpacing/>
        <w:mirrorIndents/>
        <w:rPr>
          <w:sz w:val="22"/>
          <w:szCs w:val="22"/>
        </w:rPr>
      </w:pPr>
      <w:r w:rsidRPr="004C5018">
        <w:rPr>
          <w:sz w:val="22"/>
          <w:szCs w:val="22"/>
        </w:rPr>
        <w:t xml:space="preserve">Chetty, Raj, John Friedman, Soren </w:t>
      </w:r>
      <w:proofErr w:type="spellStart"/>
      <w:r w:rsidRPr="004C5018">
        <w:rPr>
          <w:sz w:val="22"/>
          <w:szCs w:val="22"/>
        </w:rPr>
        <w:t>Leth</w:t>
      </w:r>
      <w:proofErr w:type="spellEnd"/>
      <w:r w:rsidRPr="004C5018">
        <w:rPr>
          <w:sz w:val="22"/>
          <w:szCs w:val="22"/>
        </w:rPr>
        <w:t xml:space="preserve">-Petersen, </w:t>
      </w:r>
      <w:proofErr w:type="spellStart"/>
      <w:r w:rsidRPr="004C5018">
        <w:rPr>
          <w:sz w:val="22"/>
          <w:szCs w:val="22"/>
        </w:rPr>
        <w:t>Torben</w:t>
      </w:r>
      <w:proofErr w:type="spellEnd"/>
      <w:r w:rsidRPr="004C5018">
        <w:rPr>
          <w:sz w:val="22"/>
          <w:szCs w:val="22"/>
        </w:rPr>
        <w:t xml:space="preserve"> Nielsen, and Tore Olsen. 2014. “Active vs. Passive Decisions and Crowd-out in Retirement Savings Accounts: Evidence from Denmark,” </w:t>
      </w:r>
      <w:r w:rsidRPr="004C5018">
        <w:rPr>
          <w:i/>
          <w:sz w:val="22"/>
          <w:szCs w:val="22"/>
        </w:rPr>
        <w:t xml:space="preserve">Quarterly Journal of Economics </w:t>
      </w:r>
      <w:r w:rsidRPr="004C5018">
        <w:rPr>
          <w:sz w:val="22"/>
          <w:szCs w:val="22"/>
        </w:rPr>
        <w:t xml:space="preserve">129(3): 1141-1219. </w:t>
      </w:r>
      <w:hyperlink r:id="rId41" w:history="1">
        <w:r w:rsidRPr="004C5018">
          <w:rPr>
            <w:rStyle w:val="Hyperlink"/>
            <w:sz w:val="22"/>
            <w:szCs w:val="22"/>
          </w:rPr>
          <w:t>Non-technical summary.</w:t>
        </w:r>
      </w:hyperlink>
      <w:r w:rsidRPr="004C5018">
        <w:rPr>
          <w:sz w:val="22"/>
          <w:szCs w:val="22"/>
        </w:rPr>
        <w:t xml:space="preserve"> </w:t>
      </w:r>
    </w:p>
    <w:p w14:paraId="1896B493" w14:textId="77777777" w:rsidR="00690514" w:rsidRPr="004C5018" w:rsidRDefault="00690514" w:rsidP="00690514">
      <w:pPr>
        <w:ind w:left="540" w:hanging="540"/>
        <w:contextualSpacing/>
        <w:mirrorIndents/>
        <w:rPr>
          <w:sz w:val="22"/>
          <w:szCs w:val="22"/>
        </w:rPr>
      </w:pPr>
    </w:p>
    <w:p w14:paraId="689A36A1" w14:textId="77777777" w:rsidR="00690514" w:rsidRPr="004C5018" w:rsidRDefault="00690514" w:rsidP="00690514">
      <w:pPr>
        <w:ind w:left="540" w:hanging="540"/>
        <w:contextualSpacing/>
        <w:mirrorIndents/>
        <w:rPr>
          <w:sz w:val="22"/>
          <w:szCs w:val="22"/>
        </w:rPr>
      </w:pPr>
      <w:proofErr w:type="spellStart"/>
      <w:r w:rsidRPr="004C5018">
        <w:rPr>
          <w:sz w:val="22"/>
          <w:szCs w:val="22"/>
        </w:rPr>
        <w:t>Duflo</w:t>
      </w:r>
      <w:proofErr w:type="spellEnd"/>
      <w:r w:rsidRPr="004C5018">
        <w:rPr>
          <w:sz w:val="22"/>
          <w:szCs w:val="22"/>
        </w:rPr>
        <w:t xml:space="preserve">, Esther, and Emmanuel </w:t>
      </w:r>
      <w:proofErr w:type="spellStart"/>
      <w:r w:rsidRPr="004C5018">
        <w:rPr>
          <w:sz w:val="22"/>
          <w:szCs w:val="22"/>
        </w:rPr>
        <w:t>Saez</w:t>
      </w:r>
      <w:proofErr w:type="spellEnd"/>
      <w:r w:rsidRPr="004C5018">
        <w:rPr>
          <w:sz w:val="22"/>
          <w:szCs w:val="22"/>
        </w:rPr>
        <w:t xml:space="preserve">. 2003. “The Role of Information and Social Interactions in Retirement Plan Decisions: Evidence from a Randomized Experiment,” </w:t>
      </w:r>
      <w:r w:rsidRPr="004C5018">
        <w:rPr>
          <w:i/>
          <w:sz w:val="22"/>
          <w:szCs w:val="22"/>
        </w:rPr>
        <w:t>Quarterly Journal of Economics</w:t>
      </w:r>
      <w:r w:rsidRPr="004C5018">
        <w:rPr>
          <w:sz w:val="22"/>
          <w:szCs w:val="22"/>
        </w:rPr>
        <w:t xml:space="preserve"> 118:  815-842.</w:t>
      </w:r>
    </w:p>
    <w:p w14:paraId="7F2EA669" w14:textId="77777777" w:rsidR="00690514" w:rsidRPr="004C5018" w:rsidRDefault="00690514" w:rsidP="00690514">
      <w:pPr>
        <w:ind w:left="540" w:hanging="540"/>
        <w:contextualSpacing/>
        <w:mirrorIndents/>
        <w:rPr>
          <w:sz w:val="22"/>
          <w:szCs w:val="22"/>
        </w:rPr>
      </w:pPr>
    </w:p>
    <w:p w14:paraId="3BB307E0" w14:textId="77777777" w:rsidR="00690514" w:rsidRPr="004C5018" w:rsidRDefault="00690514" w:rsidP="00690514">
      <w:pPr>
        <w:ind w:left="540" w:hanging="540"/>
        <w:contextualSpacing/>
        <w:mirrorIndents/>
        <w:rPr>
          <w:sz w:val="22"/>
          <w:szCs w:val="22"/>
        </w:rPr>
      </w:pPr>
      <w:proofErr w:type="spellStart"/>
      <w:r w:rsidRPr="004C5018">
        <w:rPr>
          <w:sz w:val="22"/>
          <w:szCs w:val="22"/>
        </w:rPr>
        <w:t>Madrian</w:t>
      </w:r>
      <w:proofErr w:type="spellEnd"/>
      <w:r w:rsidRPr="004C5018">
        <w:rPr>
          <w:sz w:val="22"/>
          <w:szCs w:val="22"/>
        </w:rPr>
        <w:t xml:space="preserve">, Brigitte and Dennis Shea.  2001. “The Power of Suggestion: Inertia in 401(k) Participation and Savings Behavior.” </w:t>
      </w:r>
      <w:r w:rsidRPr="004C5018">
        <w:rPr>
          <w:i/>
          <w:sz w:val="22"/>
          <w:szCs w:val="22"/>
        </w:rPr>
        <w:t>Quarterly Journal of Economics</w:t>
      </w:r>
      <w:r w:rsidRPr="004C5018">
        <w:rPr>
          <w:sz w:val="22"/>
          <w:szCs w:val="22"/>
        </w:rPr>
        <w:t xml:space="preserve"> 116(4): 1149-1187.</w:t>
      </w:r>
    </w:p>
    <w:p w14:paraId="795A81AF" w14:textId="77777777" w:rsidR="00690514" w:rsidRDefault="00690514" w:rsidP="0042688D">
      <w:pPr>
        <w:contextualSpacing/>
        <w:mirrorIndents/>
        <w:rPr>
          <w:sz w:val="22"/>
          <w:szCs w:val="22"/>
        </w:rPr>
      </w:pPr>
    </w:p>
    <w:p w14:paraId="41764FF3" w14:textId="77777777" w:rsidR="00690514" w:rsidRPr="004C5018" w:rsidRDefault="00690514" w:rsidP="0042688D">
      <w:pPr>
        <w:contextualSpacing/>
        <w:mirrorIndents/>
        <w:rPr>
          <w:sz w:val="22"/>
          <w:szCs w:val="22"/>
        </w:rPr>
      </w:pPr>
    </w:p>
    <w:p w14:paraId="502B1901" w14:textId="77777777" w:rsidR="000E1A71" w:rsidRPr="004C5018" w:rsidRDefault="000E1A71" w:rsidP="0042688D">
      <w:pPr>
        <w:contextualSpacing/>
        <w:mirrorIndents/>
        <w:jc w:val="center"/>
        <w:rPr>
          <w:sz w:val="22"/>
          <w:szCs w:val="22"/>
          <w:u w:val="single"/>
        </w:rPr>
      </w:pPr>
      <w:r w:rsidRPr="004C5018">
        <w:rPr>
          <w:sz w:val="22"/>
          <w:szCs w:val="22"/>
          <w:u w:val="single"/>
        </w:rPr>
        <w:t>Part VIII: Economic Development and Institutional Change</w:t>
      </w:r>
    </w:p>
    <w:p w14:paraId="206B2670" w14:textId="77777777" w:rsidR="000E1A71" w:rsidRPr="004C5018" w:rsidRDefault="000E1A71" w:rsidP="0042688D">
      <w:pPr>
        <w:contextualSpacing/>
        <w:mirrorIndents/>
        <w:rPr>
          <w:sz w:val="22"/>
          <w:szCs w:val="22"/>
        </w:rPr>
      </w:pPr>
    </w:p>
    <w:p w14:paraId="0F437CB8" w14:textId="77777777" w:rsidR="00F52517" w:rsidRPr="004C5018" w:rsidRDefault="00F52517" w:rsidP="00F52517">
      <w:pPr>
        <w:ind w:left="720" w:hanging="720"/>
        <w:contextualSpacing/>
        <w:mirrorIndents/>
        <w:rPr>
          <w:sz w:val="22"/>
          <w:szCs w:val="22"/>
        </w:rPr>
      </w:pPr>
      <w:r w:rsidRPr="004C5018">
        <w:rPr>
          <w:sz w:val="22"/>
          <w:szCs w:val="22"/>
        </w:rPr>
        <w:t>Acemoglu, Daron, and James Robinson. 2008.</w:t>
      </w:r>
      <w:hyperlink r:id="rId42" w:history="1">
        <w:r w:rsidRPr="004C5018">
          <w:rPr>
            <w:rStyle w:val="Hyperlink"/>
            <w:sz w:val="22"/>
            <w:szCs w:val="22"/>
          </w:rPr>
          <w:t xml:space="preserve"> The Role of Institutions in Growth and Development.</w:t>
        </w:r>
      </w:hyperlink>
      <w:r w:rsidRPr="004C5018">
        <w:rPr>
          <w:sz w:val="22"/>
          <w:szCs w:val="22"/>
        </w:rPr>
        <w:t xml:space="preserve"> Commission on Growth and Development Working Paper No. 10.</w:t>
      </w:r>
    </w:p>
    <w:p w14:paraId="002EBB72" w14:textId="77777777" w:rsidR="00F52517" w:rsidRPr="004C5018" w:rsidRDefault="00F52517" w:rsidP="00F52517">
      <w:pPr>
        <w:ind w:left="720" w:hanging="720"/>
        <w:contextualSpacing/>
        <w:mirrorIndents/>
        <w:rPr>
          <w:sz w:val="22"/>
          <w:szCs w:val="22"/>
        </w:rPr>
      </w:pPr>
    </w:p>
    <w:p w14:paraId="45002CF6" w14:textId="32C9BB99" w:rsidR="00F52517" w:rsidRPr="004C5018" w:rsidRDefault="00F52517" w:rsidP="00F52517">
      <w:pPr>
        <w:ind w:left="720" w:hanging="720"/>
        <w:contextualSpacing/>
        <w:mirrorIndents/>
        <w:rPr>
          <w:sz w:val="22"/>
          <w:szCs w:val="22"/>
        </w:rPr>
      </w:pPr>
      <w:r w:rsidRPr="004C5018">
        <w:rPr>
          <w:sz w:val="22"/>
          <w:szCs w:val="22"/>
        </w:rPr>
        <w:lastRenderedPageBreak/>
        <w:t xml:space="preserve">Asher, Sam, Paul </w:t>
      </w:r>
      <w:proofErr w:type="spellStart"/>
      <w:r w:rsidRPr="004C5018">
        <w:rPr>
          <w:sz w:val="22"/>
          <w:szCs w:val="22"/>
        </w:rPr>
        <w:t>Novosad</w:t>
      </w:r>
      <w:proofErr w:type="spellEnd"/>
      <w:r w:rsidRPr="004C5018">
        <w:rPr>
          <w:sz w:val="22"/>
          <w:szCs w:val="22"/>
        </w:rPr>
        <w:t xml:space="preserve">, and Charlie </w:t>
      </w:r>
      <w:proofErr w:type="spellStart"/>
      <w:r w:rsidRPr="004C5018">
        <w:rPr>
          <w:sz w:val="22"/>
          <w:szCs w:val="22"/>
        </w:rPr>
        <w:t>Rafkin</w:t>
      </w:r>
      <w:proofErr w:type="spellEnd"/>
      <w:r w:rsidRPr="004C5018">
        <w:rPr>
          <w:sz w:val="22"/>
          <w:szCs w:val="22"/>
        </w:rPr>
        <w:t>. 2019. “Intergenerational Mobility in India: Estimates from New Methods and Administrative Data.”  Dartmouth Working Paper.</w:t>
      </w:r>
    </w:p>
    <w:p w14:paraId="556B0ACC" w14:textId="0AB359D3" w:rsidR="00FA04D6" w:rsidRPr="004C5018" w:rsidRDefault="00FA04D6" w:rsidP="0042688D">
      <w:pPr>
        <w:contextualSpacing/>
        <w:mirrorIndents/>
        <w:rPr>
          <w:sz w:val="22"/>
          <w:szCs w:val="22"/>
        </w:rPr>
      </w:pPr>
    </w:p>
    <w:p w14:paraId="6F0249DE" w14:textId="05D64072" w:rsidR="009844F7" w:rsidRPr="004C5018" w:rsidRDefault="009844F7" w:rsidP="00BE7A80">
      <w:pPr>
        <w:ind w:left="720" w:hanging="720"/>
        <w:contextualSpacing/>
        <w:mirrorIndents/>
        <w:rPr>
          <w:sz w:val="22"/>
          <w:szCs w:val="22"/>
        </w:rPr>
      </w:pPr>
      <w:r w:rsidRPr="004C5018">
        <w:rPr>
          <w:sz w:val="22"/>
          <w:szCs w:val="22"/>
        </w:rPr>
        <w:t xml:space="preserve">Banerjee, Abhijit, and Esther </w:t>
      </w:r>
      <w:proofErr w:type="spellStart"/>
      <w:r w:rsidRPr="004C5018">
        <w:rPr>
          <w:sz w:val="22"/>
          <w:szCs w:val="22"/>
        </w:rPr>
        <w:t>Duflo</w:t>
      </w:r>
      <w:proofErr w:type="spellEnd"/>
      <w:r w:rsidRPr="004C5018">
        <w:rPr>
          <w:sz w:val="22"/>
          <w:szCs w:val="22"/>
        </w:rPr>
        <w:t xml:space="preserve">. 2012. </w:t>
      </w:r>
      <w:hyperlink r:id="rId43" w:history="1">
        <w:r w:rsidRPr="004C5018">
          <w:rPr>
            <w:rStyle w:val="Hyperlink"/>
            <w:i/>
            <w:sz w:val="22"/>
            <w:szCs w:val="22"/>
          </w:rPr>
          <w:t>Poor Economics: A Radical Rethinking of the Way to Fight Global Poverty</w:t>
        </w:r>
      </w:hyperlink>
      <w:r w:rsidRPr="004C5018">
        <w:rPr>
          <w:sz w:val="22"/>
          <w:szCs w:val="22"/>
        </w:rPr>
        <w:t xml:space="preserve">. </w:t>
      </w:r>
      <w:proofErr w:type="spellStart"/>
      <w:r w:rsidRPr="004C5018">
        <w:rPr>
          <w:sz w:val="22"/>
          <w:szCs w:val="22"/>
        </w:rPr>
        <w:t>PublicAffairs</w:t>
      </w:r>
      <w:proofErr w:type="spellEnd"/>
    </w:p>
    <w:p w14:paraId="5FE77526" w14:textId="77777777" w:rsidR="00F52517" w:rsidRPr="004C5018" w:rsidRDefault="00F52517" w:rsidP="00F52517">
      <w:pPr>
        <w:ind w:left="720" w:hanging="720"/>
        <w:contextualSpacing/>
        <w:mirrorIndents/>
        <w:rPr>
          <w:b/>
          <w:sz w:val="22"/>
          <w:szCs w:val="22"/>
        </w:rPr>
      </w:pPr>
    </w:p>
    <w:p w14:paraId="678D14BA" w14:textId="6A44791E" w:rsidR="00F52517" w:rsidRPr="004C5018" w:rsidRDefault="00F52517" w:rsidP="00F52517">
      <w:pPr>
        <w:ind w:left="720" w:hanging="720"/>
        <w:contextualSpacing/>
        <w:mirrorIndents/>
        <w:rPr>
          <w:b/>
          <w:sz w:val="22"/>
          <w:szCs w:val="22"/>
        </w:rPr>
      </w:pPr>
      <w:r w:rsidRPr="004C5018">
        <w:rPr>
          <w:b/>
          <w:sz w:val="22"/>
          <w:szCs w:val="22"/>
        </w:rPr>
        <w:t xml:space="preserve">Dell, Melissa. 2010. “The Persistent Effects of Peru's Mining </w:t>
      </w:r>
      <w:proofErr w:type="spellStart"/>
      <w:r w:rsidRPr="004C5018">
        <w:rPr>
          <w:b/>
          <w:sz w:val="22"/>
          <w:szCs w:val="22"/>
        </w:rPr>
        <w:t>Mita</w:t>
      </w:r>
      <w:proofErr w:type="spellEnd"/>
      <w:r w:rsidRPr="004C5018">
        <w:rPr>
          <w:b/>
          <w:sz w:val="22"/>
          <w:szCs w:val="22"/>
        </w:rPr>
        <w:t xml:space="preserve">.” </w:t>
      </w:r>
      <w:proofErr w:type="spellStart"/>
      <w:r w:rsidRPr="004C5018">
        <w:rPr>
          <w:b/>
          <w:i/>
          <w:sz w:val="22"/>
          <w:szCs w:val="22"/>
        </w:rPr>
        <w:t>Econometrica</w:t>
      </w:r>
      <w:proofErr w:type="spellEnd"/>
      <w:r w:rsidRPr="004C5018">
        <w:rPr>
          <w:b/>
          <w:sz w:val="22"/>
          <w:szCs w:val="22"/>
        </w:rPr>
        <w:t xml:space="preserve"> 78(6): 1863-1903.</w:t>
      </w:r>
    </w:p>
    <w:p w14:paraId="2A610A26" w14:textId="77777777" w:rsidR="00F52517" w:rsidRPr="004C5018" w:rsidRDefault="00F52517" w:rsidP="00F52517">
      <w:pPr>
        <w:ind w:left="720" w:hanging="720"/>
        <w:contextualSpacing/>
        <w:mirrorIndents/>
        <w:rPr>
          <w:sz w:val="22"/>
          <w:szCs w:val="22"/>
        </w:rPr>
      </w:pPr>
    </w:p>
    <w:p w14:paraId="67CF20D4" w14:textId="77777777" w:rsidR="00F52517" w:rsidRPr="004C5018" w:rsidRDefault="00F52517" w:rsidP="00F52517">
      <w:pPr>
        <w:ind w:left="720" w:hanging="720"/>
        <w:contextualSpacing/>
        <w:mirrorIndents/>
        <w:rPr>
          <w:sz w:val="22"/>
          <w:szCs w:val="22"/>
        </w:rPr>
      </w:pPr>
      <w:r w:rsidRPr="004C5018">
        <w:rPr>
          <w:sz w:val="22"/>
          <w:szCs w:val="22"/>
        </w:rPr>
        <w:t xml:space="preserve">Dell, Melissa, Nathan Lane, and Pablo </w:t>
      </w:r>
      <w:proofErr w:type="spellStart"/>
      <w:r w:rsidRPr="004C5018">
        <w:rPr>
          <w:sz w:val="22"/>
          <w:szCs w:val="22"/>
        </w:rPr>
        <w:t>Querubin</w:t>
      </w:r>
      <w:proofErr w:type="spellEnd"/>
      <w:r w:rsidRPr="004C5018">
        <w:rPr>
          <w:sz w:val="22"/>
          <w:szCs w:val="22"/>
        </w:rPr>
        <w:t xml:space="preserve">. 2019. “The Historical State, Local Collective Action, and Economic Development in Vietnam.” </w:t>
      </w:r>
      <w:proofErr w:type="spellStart"/>
      <w:r w:rsidRPr="004C5018">
        <w:rPr>
          <w:i/>
          <w:sz w:val="22"/>
          <w:szCs w:val="22"/>
        </w:rPr>
        <w:t>Econometrica</w:t>
      </w:r>
      <w:proofErr w:type="spellEnd"/>
      <w:r w:rsidRPr="004C5018">
        <w:rPr>
          <w:sz w:val="22"/>
          <w:szCs w:val="22"/>
        </w:rPr>
        <w:t>, forthcoming.</w:t>
      </w:r>
    </w:p>
    <w:p w14:paraId="2E9978A0" w14:textId="77777777" w:rsidR="009844F7" w:rsidRPr="004C5018" w:rsidRDefault="009844F7" w:rsidP="0042688D">
      <w:pPr>
        <w:contextualSpacing/>
        <w:mirrorIndents/>
        <w:rPr>
          <w:sz w:val="22"/>
          <w:szCs w:val="22"/>
        </w:rPr>
      </w:pPr>
    </w:p>
    <w:p w14:paraId="75C2DFD0" w14:textId="4936F06A" w:rsidR="00387825" w:rsidRPr="004C5018" w:rsidRDefault="00F52517" w:rsidP="00F52517">
      <w:pPr>
        <w:ind w:left="720" w:hanging="720"/>
        <w:contextualSpacing/>
        <w:mirrorIndents/>
        <w:rPr>
          <w:sz w:val="22"/>
          <w:szCs w:val="22"/>
        </w:rPr>
      </w:pPr>
      <w:r w:rsidRPr="004C5018">
        <w:rPr>
          <w:sz w:val="22"/>
          <w:szCs w:val="22"/>
        </w:rPr>
        <w:t xml:space="preserve">Miguel, Edward Michael Kremer. 2004. “Worms: Identifying Impacts on Education and Health in the Presence of Treatment Externalities.” </w:t>
      </w:r>
      <w:proofErr w:type="spellStart"/>
      <w:r w:rsidRPr="004C5018">
        <w:rPr>
          <w:i/>
          <w:sz w:val="22"/>
          <w:szCs w:val="22"/>
        </w:rPr>
        <w:t>Econometrica</w:t>
      </w:r>
      <w:proofErr w:type="spellEnd"/>
      <w:r w:rsidRPr="004C5018">
        <w:rPr>
          <w:sz w:val="22"/>
          <w:szCs w:val="22"/>
        </w:rPr>
        <w:t xml:space="preserve"> 72(1): 159-217.</w:t>
      </w:r>
    </w:p>
    <w:p w14:paraId="63004378" w14:textId="0472F1B4" w:rsidR="00387825" w:rsidRPr="004C5018" w:rsidRDefault="00387825" w:rsidP="0042688D">
      <w:pPr>
        <w:contextualSpacing/>
        <w:mirrorIndents/>
        <w:rPr>
          <w:sz w:val="22"/>
          <w:szCs w:val="22"/>
        </w:rPr>
      </w:pPr>
    </w:p>
    <w:p w14:paraId="48AF2B2E" w14:textId="426AA636" w:rsidR="00F52517" w:rsidRPr="004C5018" w:rsidRDefault="00F52517" w:rsidP="004319D2">
      <w:pPr>
        <w:ind w:left="720" w:hanging="720"/>
        <w:contextualSpacing/>
        <w:mirrorIndents/>
        <w:rPr>
          <w:sz w:val="22"/>
          <w:szCs w:val="22"/>
        </w:rPr>
      </w:pPr>
      <w:proofErr w:type="spellStart"/>
      <w:r w:rsidRPr="004C5018">
        <w:rPr>
          <w:sz w:val="22"/>
          <w:szCs w:val="22"/>
        </w:rPr>
        <w:t>Muralidharan</w:t>
      </w:r>
      <w:proofErr w:type="spellEnd"/>
      <w:r w:rsidRPr="004C5018">
        <w:rPr>
          <w:sz w:val="22"/>
          <w:szCs w:val="22"/>
        </w:rPr>
        <w:t xml:space="preserve">, </w:t>
      </w:r>
      <w:proofErr w:type="spellStart"/>
      <w:r w:rsidRPr="004C5018">
        <w:rPr>
          <w:sz w:val="22"/>
          <w:szCs w:val="22"/>
        </w:rPr>
        <w:t>Karthik</w:t>
      </w:r>
      <w:proofErr w:type="spellEnd"/>
      <w:r w:rsidRPr="004C5018">
        <w:rPr>
          <w:sz w:val="22"/>
          <w:szCs w:val="22"/>
        </w:rPr>
        <w:t xml:space="preserve"> and </w:t>
      </w:r>
      <w:proofErr w:type="spellStart"/>
      <w:r w:rsidRPr="004C5018">
        <w:rPr>
          <w:sz w:val="22"/>
          <w:szCs w:val="22"/>
        </w:rPr>
        <w:t>Venkatesh</w:t>
      </w:r>
      <w:proofErr w:type="spellEnd"/>
      <w:r w:rsidRPr="004C5018">
        <w:rPr>
          <w:sz w:val="22"/>
          <w:szCs w:val="22"/>
        </w:rPr>
        <w:t xml:space="preserve"> </w:t>
      </w:r>
      <w:proofErr w:type="spellStart"/>
      <w:r w:rsidRPr="004C5018">
        <w:rPr>
          <w:sz w:val="22"/>
          <w:szCs w:val="22"/>
        </w:rPr>
        <w:t>Sundararaman</w:t>
      </w:r>
      <w:proofErr w:type="spellEnd"/>
      <w:r w:rsidRPr="004C5018">
        <w:rPr>
          <w:sz w:val="22"/>
          <w:szCs w:val="22"/>
        </w:rPr>
        <w:t xml:space="preserve">. 2011. “Teacher Performance Pay: Experimental Evidence from India.” </w:t>
      </w:r>
      <w:r w:rsidRPr="004C5018">
        <w:rPr>
          <w:i/>
          <w:sz w:val="22"/>
          <w:szCs w:val="22"/>
        </w:rPr>
        <w:t>Journal of Political Economy</w:t>
      </w:r>
      <w:r w:rsidRPr="004C5018">
        <w:rPr>
          <w:sz w:val="22"/>
          <w:szCs w:val="22"/>
        </w:rPr>
        <w:t xml:space="preserve"> 119(1): 39-77.</w:t>
      </w:r>
    </w:p>
    <w:p w14:paraId="2809E3A7" w14:textId="77777777" w:rsidR="00B90E1E" w:rsidRPr="004C5018" w:rsidRDefault="00B90E1E" w:rsidP="0042688D">
      <w:pPr>
        <w:contextualSpacing/>
        <w:mirrorIndents/>
        <w:rPr>
          <w:sz w:val="22"/>
          <w:szCs w:val="22"/>
        </w:rPr>
      </w:pPr>
    </w:p>
    <w:p w14:paraId="570F8830" w14:textId="77777777" w:rsidR="003D78E5" w:rsidRPr="004C5018" w:rsidRDefault="003D78E5" w:rsidP="0042688D">
      <w:pPr>
        <w:contextualSpacing/>
        <w:mirrorIndents/>
        <w:jc w:val="center"/>
        <w:rPr>
          <w:sz w:val="22"/>
          <w:szCs w:val="22"/>
          <w:u w:val="single"/>
        </w:rPr>
      </w:pPr>
      <w:r w:rsidRPr="004C5018">
        <w:rPr>
          <w:sz w:val="22"/>
          <w:szCs w:val="22"/>
          <w:u w:val="single"/>
        </w:rPr>
        <w:t>Statistics References</w:t>
      </w:r>
    </w:p>
    <w:p w14:paraId="09E8724E" w14:textId="77777777" w:rsidR="003D78E5" w:rsidRPr="004C5018" w:rsidRDefault="003D78E5" w:rsidP="0042688D">
      <w:pPr>
        <w:contextualSpacing/>
        <w:mirrorIndents/>
        <w:rPr>
          <w:sz w:val="22"/>
          <w:szCs w:val="22"/>
        </w:rPr>
      </w:pPr>
    </w:p>
    <w:p w14:paraId="3575DE26" w14:textId="77777777" w:rsidR="003D78E5" w:rsidRPr="004C5018" w:rsidRDefault="003D78E5" w:rsidP="00F52517">
      <w:pPr>
        <w:ind w:left="720" w:hanging="720"/>
        <w:contextualSpacing/>
        <w:mirrorIndents/>
        <w:rPr>
          <w:bCs/>
          <w:i/>
          <w:color w:val="000000"/>
          <w:sz w:val="22"/>
          <w:szCs w:val="22"/>
        </w:rPr>
      </w:pPr>
      <w:r w:rsidRPr="004C5018">
        <w:rPr>
          <w:sz w:val="22"/>
          <w:szCs w:val="22"/>
        </w:rPr>
        <w:t xml:space="preserve">Angrist, Joshua D. and </w:t>
      </w:r>
      <w:proofErr w:type="spellStart"/>
      <w:r w:rsidRPr="004C5018">
        <w:rPr>
          <w:bCs/>
          <w:color w:val="000000"/>
          <w:sz w:val="22"/>
          <w:szCs w:val="22"/>
        </w:rPr>
        <w:t>Jörn</w:t>
      </w:r>
      <w:proofErr w:type="spellEnd"/>
      <w:r w:rsidRPr="004C5018">
        <w:rPr>
          <w:bCs/>
          <w:color w:val="000000"/>
          <w:sz w:val="22"/>
          <w:szCs w:val="22"/>
        </w:rPr>
        <w:t xml:space="preserve">-Steffen </w:t>
      </w:r>
      <w:proofErr w:type="spellStart"/>
      <w:r w:rsidRPr="004C5018">
        <w:rPr>
          <w:bCs/>
          <w:color w:val="000000"/>
          <w:sz w:val="22"/>
          <w:szCs w:val="22"/>
        </w:rPr>
        <w:t>Pischke</w:t>
      </w:r>
      <w:proofErr w:type="spellEnd"/>
      <w:r w:rsidRPr="004C5018">
        <w:rPr>
          <w:bCs/>
          <w:color w:val="000000"/>
          <w:sz w:val="22"/>
          <w:szCs w:val="22"/>
        </w:rPr>
        <w:t xml:space="preserve">. </w:t>
      </w:r>
      <w:r w:rsidRPr="004C5018">
        <w:rPr>
          <w:bCs/>
          <w:i/>
          <w:color w:val="000000"/>
          <w:sz w:val="22"/>
          <w:szCs w:val="22"/>
        </w:rPr>
        <w:t xml:space="preserve">Mastering ‘Metrics: The Path from Cause to </w:t>
      </w:r>
    </w:p>
    <w:p w14:paraId="05D81A0C" w14:textId="77777777" w:rsidR="003D78E5" w:rsidRPr="004C5018" w:rsidRDefault="003D78E5" w:rsidP="00F52517">
      <w:pPr>
        <w:ind w:left="720" w:hanging="720"/>
        <w:contextualSpacing/>
        <w:mirrorIndents/>
        <w:rPr>
          <w:bCs/>
          <w:color w:val="000000"/>
          <w:sz w:val="22"/>
          <w:szCs w:val="22"/>
        </w:rPr>
      </w:pPr>
      <w:r w:rsidRPr="004C5018">
        <w:rPr>
          <w:bCs/>
          <w:i/>
          <w:color w:val="000000"/>
          <w:sz w:val="22"/>
          <w:szCs w:val="22"/>
        </w:rPr>
        <w:tab/>
        <w:t>Effect</w:t>
      </w:r>
      <w:r w:rsidRPr="004C5018">
        <w:rPr>
          <w:bCs/>
          <w:color w:val="000000"/>
          <w:sz w:val="22"/>
          <w:szCs w:val="22"/>
        </w:rPr>
        <w:t>. Princeton: Princeton University Press, 2015.</w:t>
      </w:r>
    </w:p>
    <w:p w14:paraId="3B0C4D44" w14:textId="77777777" w:rsidR="00AF77F2" w:rsidRPr="004C5018" w:rsidRDefault="00AF77F2" w:rsidP="00AF77F2">
      <w:pPr>
        <w:contextualSpacing/>
        <w:mirrorIndents/>
        <w:rPr>
          <w:color w:val="000000"/>
          <w:sz w:val="22"/>
          <w:szCs w:val="22"/>
          <w:shd w:val="clear" w:color="auto" w:fill="FFFFFF"/>
        </w:rPr>
      </w:pPr>
    </w:p>
    <w:p w14:paraId="6EAF85F8" w14:textId="43891124" w:rsidR="00AF77F2" w:rsidRPr="004C5018" w:rsidRDefault="00AF77F2" w:rsidP="00AF77F2">
      <w:pPr>
        <w:ind w:left="720" w:hanging="720"/>
        <w:contextualSpacing/>
        <w:mirrorIndents/>
        <w:rPr>
          <w:sz w:val="22"/>
          <w:szCs w:val="22"/>
        </w:rPr>
      </w:pPr>
      <w:r w:rsidRPr="004C5018">
        <w:rPr>
          <w:sz w:val="22"/>
          <w:szCs w:val="22"/>
        </w:rPr>
        <w:t xml:space="preserve">Mullainathan, </w:t>
      </w:r>
      <w:proofErr w:type="spellStart"/>
      <w:r w:rsidRPr="004C5018">
        <w:rPr>
          <w:sz w:val="22"/>
          <w:szCs w:val="22"/>
        </w:rPr>
        <w:t>Sendhil</w:t>
      </w:r>
      <w:proofErr w:type="spellEnd"/>
      <w:r w:rsidRPr="004C5018">
        <w:rPr>
          <w:sz w:val="22"/>
          <w:szCs w:val="22"/>
        </w:rPr>
        <w:t xml:space="preserve"> and Jan </w:t>
      </w:r>
      <w:proofErr w:type="spellStart"/>
      <w:r w:rsidRPr="004C5018">
        <w:rPr>
          <w:sz w:val="22"/>
          <w:szCs w:val="22"/>
        </w:rPr>
        <w:t>Spiess</w:t>
      </w:r>
      <w:proofErr w:type="spellEnd"/>
      <w:r w:rsidRPr="004C5018">
        <w:rPr>
          <w:sz w:val="22"/>
          <w:szCs w:val="22"/>
        </w:rPr>
        <w:t>. 2017.</w:t>
      </w:r>
      <w:r w:rsidRPr="004C5018">
        <w:rPr>
          <w:color w:val="0462C1"/>
          <w:sz w:val="22"/>
          <w:szCs w:val="22"/>
        </w:rPr>
        <w:t xml:space="preserve"> “</w:t>
      </w:r>
      <w:hyperlink r:id="rId44">
        <w:r w:rsidRPr="004C5018">
          <w:rPr>
            <w:color w:val="0462C1"/>
            <w:sz w:val="22"/>
            <w:szCs w:val="22"/>
            <w:u w:val="single" w:color="0462C1"/>
          </w:rPr>
          <w:t>Machine Learning: An Applied Econometric</w:t>
        </w:r>
      </w:hyperlink>
      <w:hyperlink r:id="rId45">
        <w:r w:rsidRPr="004C5018">
          <w:rPr>
            <w:color w:val="0462C1"/>
            <w:sz w:val="22"/>
            <w:szCs w:val="22"/>
            <w:u w:val="single" w:color="0462C1"/>
          </w:rPr>
          <w:t xml:space="preserve"> Approach.”</w:t>
        </w:r>
        <w:r w:rsidRPr="004C5018">
          <w:rPr>
            <w:sz w:val="22"/>
            <w:szCs w:val="22"/>
          </w:rPr>
          <w:t xml:space="preserve"> </w:t>
        </w:r>
      </w:hyperlink>
      <w:r w:rsidRPr="004C5018">
        <w:rPr>
          <w:sz w:val="22"/>
          <w:szCs w:val="22"/>
        </w:rPr>
        <w:t xml:space="preserve"> </w:t>
      </w:r>
      <w:r w:rsidRPr="004C5018">
        <w:rPr>
          <w:i/>
          <w:sz w:val="22"/>
          <w:szCs w:val="22"/>
        </w:rPr>
        <w:t>Journal of Economic Perspectives</w:t>
      </w:r>
      <w:r w:rsidRPr="004C5018">
        <w:rPr>
          <w:sz w:val="22"/>
          <w:szCs w:val="22"/>
        </w:rPr>
        <w:t xml:space="preserve"> 31 (2): 87-106.</w:t>
      </w:r>
    </w:p>
    <w:p w14:paraId="234F29CF" w14:textId="77777777" w:rsidR="00AF77F2" w:rsidRPr="004C5018" w:rsidRDefault="00AF77F2" w:rsidP="00F52517">
      <w:pPr>
        <w:ind w:left="720" w:hanging="720"/>
        <w:contextualSpacing/>
        <w:mirrorIndents/>
        <w:rPr>
          <w:bCs/>
          <w:color w:val="000000"/>
          <w:sz w:val="22"/>
          <w:szCs w:val="22"/>
        </w:rPr>
      </w:pPr>
    </w:p>
    <w:p w14:paraId="2A38C194" w14:textId="7166CBFD" w:rsidR="003D78E5" w:rsidRPr="004C5018" w:rsidRDefault="003D78E5" w:rsidP="00AF77F2">
      <w:pPr>
        <w:ind w:left="720" w:hanging="720"/>
        <w:contextualSpacing/>
        <w:mirrorIndents/>
        <w:rPr>
          <w:sz w:val="22"/>
          <w:szCs w:val="22"/>
        </w:rPr>
      </w:pPr>
      <w:r w:rsidRPr="004C5018">
        <w:rPr>
          <w:bCs/>
          <w:color w:val="000000"/>
          <w:sz w:val="22"/>
          <w:szCs w:val="22"/>
        </w:rPr>
        <w:t xml:space="preserve">Stock, James H. and Mark W. Watson. </w:t>
      </w:r>
      <w:r w:rsidRPr="004C5018">
        <w:rPr>
          <w:bCs/>
          <w:i/>
          <w:color w:val="000000"/>
          <w:sz w:val="22"/>
          <w:szCs w:val="22"/>
        </w:rPr>
        <w:t>Introduction to Econometrics</w:t>
      </w:r>
      <w:r w:rsidRPr="004C5018">
        <w:rPr>
          <w:bCs/>
          <w:color w:val="000000"/>
          <w:sz w:val="22"/>
          <w:szCs w:val="22"/>
        </w:rPr>
        <w:t xml:space="preserve">. </w:t>
      </w:r>
      <w:r w:rsidR="00635D19" w:rsidRPr="004C5018">
        <w:rPr>
          <w:bCs/>
          <w:color w:val="000000"/>
          <w:sz w:val="22"/>
          <w:szCs w:val="22"/>
        </w:rPr>
        <w:t>4th</w:t>
      </w:r>
      <w:r w:rsidRPr="004C5018">
        <w:rPr>
          <w:bCs/>
          <w:color w:val="000000"/>
          <w:sz w:val="22"/>
          <w:szCs w:val="22"/>
        </w:rPr>
        <w:t xml:space="preserve"> Ed</w:t>
      </w:r>
      <w:r w:rsidR="00F52517" w:rsidRPr="004C5018">
        <w:rPr>
          <w:bCs/>
          <w:color w:val="000000"/>
          <w:sz w:val="22"/>
          <w:szCs w:val="22"/>
        </w:rPr>
        <w:t>ition</w:t>
      </w:r>
      <w:r w:rsidRPr="004C5018">
        <w:rPr>
          <w:bCs/>
          <w:color w:val="000000"/>
          <w:sz w:val="22"/>
          <w:szCs w:val="22"/>
        </w:rPr>
        <w:t>. Boston: Pearson, 201</w:t>
      </w:r>
      <w:r w:rsidR="00F52517" w:rsidRPr="004C5018">
        <w:rPr>
          <w:bCs/>
          <w:color w:val="000000"/>
          <w:sz w:val="22"/>
          <w:szCs w:val="22"/>
        </w:rPr>
        <w:t>8</w:t>
      </w:r>
      <w:r w:rsidRPr="004C5018">
        <w:rPr>
          <w:bCs/>
          <w:color w:val="000000"/>
          <w:sz w:val="22"/>
          <w:szCs w:val="22"/>
        </w:rPr>
        <w:t xml:space="preserve">.  </w:t>
      </w:r>
      <w:r w:rsidR="00ED2AEA" w:rsidRPr="004C5018">
        <w:rPr>
          <w:color w:val="000000"/>
          <w:sz w:val="22"/>
          <w:szCs w:val="22"/>
          <w:shd w:val="clear" w:color="auto" w:fill="FFFFFF"/>
        </w:rPr>
        <w:t>Note: earlier editions and all international editions printed in English are acceptable.</w:t>
      </w:r>
    </w:p>
    <w:p w14:paraId="3414168B" w14:textId="77777777" w:rsidR="00746B15" w:rsidRPr="004C5018" w:rsidRDefault="00746B15" w:rsidP="00F52517">
      <w:pPr>
        <w:ind w:left="720" w:hanging="720"/>
        <w:contextualSpacing/>
        <w:mirrorIndents/>
        <w:rPr>
          <w:sz w:val="22"/>
          <w:szCs w:val="22"/>
        </w:rPr>
      </w:pPr>
    </w:p>
    <w:p w14:paraId="5E672042" w14:textId="77777777" w:rsidR="003D78E5" w:rsidRPr="004C5018" w:rsidRDefault="003D78E5" w:rsidP="0042688D">
      <w:pPr>
        <w:contextualSpacing/>
        <w:mirrorIndents/>
        <w:jc w:val="center"/>
        <w:rPr>
          <w:sz w:val="22"/>
          <w:szCs w:val="22"/>
          <w:u w:val="single"/>
        </w:rPr>
      </w:pPr>
      <w:r w:rsidRPr="004C5018">
        <w:rPr>
          <w:sz w:val="22"/>
          <w:szCs w:val="22"/>
          <w:u w:val="single"/>
        </w:rPr>
        <w:t>Stata Resources</w:t>
      </w:r>
    </w:p>
    <w:p w14:paraId="354D677B" w14:textId="77777777" w:rsidR="003D78E5" w:rsidRPr="004C5018" w:rsidRDefault="003D78E5" w:rsidP="0042688D">
      <w:pPr>
        <w:contextualSpacing/>
        <w:mirrorIndents/>
        <w:rPr>
          <w:sz w:val="22"/>
          <w:szCs w:val="22"/>
        </w:rPr>
      </w:pPr>
    </w:p>
    <w:p w14:paraId="53DD81DA" w14:textId="1B6397EB" w:rsidR="00434145" w:rsidRPr="004C5018" w:rsidRDefault="00434145" w:rsidP="0042688D">
      <w:pPr>
        <w:contextualSpacing/>
        <w:mirrorIndents/>
        <w:rPr>
          <w:sz w:val="22"/>
          <w:szCs w:val="22"/>
        </w:rPr>
      </w:pPr>
      <w:r w:rsidRPr="004C5018">
        <w:rPr>
          <w:sz w:val="22"/>
          <w:szCs w:val="22"/>
        </w:rPr>
        <w:t xml:space="preserve">Stata is available for </w:t>
      </w:r>
      <w:hyperlink r:id="rId46" w:history="1">
        <w:r w:rsidRPr="004C5018">
          <w:rPr>
            <w:rStyle w:val="Hyperlink"/>
            <w:sz w:val="22"/>
            <w:szCs w:val="22"/>
          </w:rPr>
          <w:t>download from FAS IT</w:t>
        </w:r>
      </w:hyperlink>
      <w:r w:rsidRPr="004C5018">
        <w:rPr>
          <w:sz w:val="22"/>
          <w:szCs w:val="22"/>
        </w:rPr>
        <w:t>.</w:t>
      </w:r>
    </w:p>
    <w:p w14:paraId="5D6B5A35" w14:textId="77777777" w:rsidR="00434145" w:rsidRPr="004C5018" w:rsidRDefault="00434145" w:rsidP="0042688D">
      <w:pPr>
        <w:contextualSpacing/>
        <w:mirrorIndents/>
        <w:rPr>
          <w:sz w:val="22"/>
          <w:szCs w:val="22"/>
        </w:rPr>
      </w:pPr>
    </w:p>
    <w:p w14:paraId="60B08F70" w14:textId="73CB6840" w:rsidR="004C1A5F" w:rsidRPr="004C5018" w:rsidRDefault="004C1A5F" w:rsidP="0042688D">
      <w:pPr>
        <w:contextualSpacing/>
        <w:mirrorIndents/>
        <w:rPr>
          <w:sz w:val="22"/>
          <w:szCs w:val="22"/>
        </w:rPr>
      </w:pPr>
      <w:r w:rsidRPr="004C5018">
        <w:rPr>
          <w:sz w:val="22"/>
          <w:szCs w:val="22"/>
        </w:rPr>
        <w:t xml:space="preserve">Introduction to Stata and R for Economists: </w:t>
      </w:r>
      <w:hyperlink r:id="rId47" w:history="1">
        <w:r w:rsidRPr="004C5018">
          <w:rPr>
            <w:rStyle w:val="Hyperlink"/>
            <w:sz w:val="22"/>
            <w:szCs w:val="22"/>
          </w:rPr>
          <w:t>https://canvas.harvard.edu/courses/19323</w:t>
        </w:r>
      </w:hyperlink>
    </w:p>
    <w:p w14:paraId="504F4BC6" w14:textId="77777777" w:rsidR="004C1A5F" w:rsidRPr="004C5018" w:rsidRDefault="004C1A5F" w:rsidP="0042688D">
      <w:pPr>
        <w:tabs>
          <w:tab w:val="num" w:pos="1440"/>
        </w:tabs>
        <w:contextualSpacing/>
        <w:mirrorIndents/>
        <w:rPr>
          <w:sz w:val="22"/>
          <w:szCs w:val="22"/>
        </w:rPr>
      </w:pPr>
    </w:p>
    <w:p w14:paraId="7587BBE9" w14:textId="707B96A6" w:rsidR="003D78E5" w:rsidRPr="004C5018" w:rsidRDefault="003D78E5" w:rsidP="0042688D">
      <w:pPr>
        <w:tabs>
          <w:tab w:val="num" w:pos="1440"/>
        </w:tabs>
        <w:contextualSpacing/>
        <w:mirrorIndents/>
        <w:rPr>
          <w:sz w:val="22"/>
          <w:szCs w:val="22"/>
        </w:rPr>
      </w:pPr>
      <w:r w:rsidRPr="004C5018">
        <w:rPr>
          <w:sz w:val="22"/>
          <w:szCs w:val="22"/>
        </w:rPr>
        <w:t xml:space="preserve">Stata’s Base Reference Manual: </w:t>
      </w:r>
      <w:hyperlink r:id="rId48" w:history="1">
        <w:r w:rsidRPr="004C5018">
          <w:rPr>
            <w:rStyle w:val="Hyperlink"/>
            <w:sz w:val="22"/>
            <w:szCs w:val="22"/>
          </w:rPr>
          <w:t>http://www.stata.com/bookstore/base-reference-manual/</w:t>
        </w:r>
      </w:hyperlink>
    </w:p>
    <w:p w14:paraId="7340DEDD" w14:textId="1B70CB78" w:rsidR="003D78E5" w:rsidRPr="004C5018" w:rsidRDefault="003D78E5" w:rsidP="0042688D">
      <w:pPr>
        <w:tabs>
          <w:tab w:val="num" w:pos="1440"/>
        </w:tabs>
        <w:contextualSpacing/>
        <w:mirrorIndents/>
        <w:rPr>
          <w:sz w:val="22"/>
          <w:szCs w:val="22"/>
        </w:rPr>
      </w:pPr>
    </w:p>
    <w:p w14:paraId="513A8C44" w14:textId="40D6E813" w:rsidR="00635D19" w:rsidRPr="004C5018" w:rsidRDefault="00635D19" w:rsidP="0042688D">
      <w:pPr>
        <w:tabs>
          <w:tab w:val="num" w:pos="1440"/>
        </w:tabs>
        <w:contextualSpacing/>
        <w:mirrorIndents/>
        <w:rPr>
          <w:sz w:val="22"/>
          <w:szCs w:val="22"/>
        </w:rPr>
      </w:pPr>
      <w:r w:rsidRPr="004C5018">
        <w:rPr>
          <w:sz w:val="22"/>
          <w:szCs w:val="22"/>
        </w:rPr>
        <w:t xml:space="preserve">The Stata Blog: </w:t>
      </w:r>
      <w:hyperlink r:id="rId49" w:history="1">
        <w:r w:rsidRPr="004C5018">
          <w:rPr>
            <w:rStyle w:val="Hyperlink"/>
            <w:sz w:val="22"/>
            <w:szCs w:val="22"/>
          </w:rPr>
          <w:t>https://blog.stata.com/</w:t>
        </w:r>
      </w:hyperlink>
    </w:p>
    <w:p w14:paraId="56EF43BE" w14:textId="77777777" w:rsidR="003D78E5" w:rsidRPr="004C5018" w:rsidRDefault="003D78E5" w:rsidP="0042688D">
      <w:pPr>
        <w:tabs>
          <w:tab w:val="num" w:pos="1440"/>
        </w:tabs>
        <w:contextualSpacing/>
        <w:mirrorIndents/>
        <w:rPr>
          <w:sz w:val="22"/>
          <w:szCs w:val="22"/>
        </w:rPr>
      </w:pPr>
    </w:p>
    <w:p w14:paraId="3406B614" w14:textId="77777777" w:rsidR="003D78E5" w:rsidRPr="004C5018" w:rsidRDefault="003D78E5" w:rsidP="0042688D">
      <w:pPr>
        <w:tabs>
          <w:tab w:val="num" w:pos="1440"/>
        </w:tabs>
        <w:contextualSpacing/>
        <w:mirrorIndents/>
        <w:rPr>
          <w:sz w:val="22"/>
          <w:szCs w:val="22"/>
        </w:rPr>
      </w:pPr>
      <w:r w:rsidRPr="004C5018">
        <w:rPr>
          <w:sz w:val="22"/>
          <w:szCs w:val="22"/>
        </w:rPr>
        <w:t xml:space="preserve">UW-Madison SSCC </w:t>
      </w:r>
      <w:hyperlink r:id="rId50" w:history="1">
        <w:r w:rsidRPr="004C5018">
          <w:rPr>
            <w:rStyle w:val="Hyperlink"/>
            <w:sz w:val="22"/>
            <w:szCs w:val="22"/>
          </w:rPr>
          <w:t>http://www.ssc.wisc.edu/sscc/pubs/sfs/home.htm</w:t>
        </w:r>
      </w:hyperlink>
    </w:p>
    <w:p w14:paraId="72A0F80F" w14:textId="487A9638" w:rsidR="003D78E5" w:rsidRPr="004C5018" w:rsidRDefault="003D78E5" w:rsidP="00192347">
      <w:pPr>
        <w:contextualSpacing/>
        <w:mirrorIndents/>
        <w:rPr>
          <w:sz w:val="22"/>
          <w:szCs w:val="22"/>
        </w:rPr>
      </w:pPr>
    </w:p>
    <w:p w14:paraId="499B4897" w14:textId="77777777" w:rsidR="003D78E5" w:rsidRPr="004C5018" w:rsidRDefault="003D78E5" w:rsidP="00192347">
      <w:pPr>
        <w:contextualSpacing/>
        <w:mirrorIndents/>
        <w:rPr>
          <w:sz w:val="22"/>
          <w:szCs w:val="22"/>
        </w:rPr>
      </w:pPr>
    </w:p>
    <w:p w14:paraId="4E511071" w14:textId="014278A3" w:rsidR="003D78E5" w:rsidRPr="004C5018" w:rsidRDefault="003D78E5" w:rsidP="000300BC">
      <w:pPr>
        <w:rPr>
          <w:sz w:val="22"/>
          <w:szCs w:val="22"/>
        </w:rPr>
      </w:pPr>
    </w:p>
    <w:sectPr w:rsidR="003D78E5" w:rsidRPr="004C5018" w:rsidSect="00773A83">
      <w:headerReference w:type="default" r:id="rId51"/>
      <w:footerReference w:type="even" r:id="rId52"/>
      <w:footerReference w:type="default" r:id="rId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FCFD" w14:textId="77777777" w:rsidR="00B208B3" w:rsidRDefault="00B208B3" w:rsidP="00567172">
      <w:r>
        <w:separator/>
      </w:r>
    </w:p>
  </w:endnote>
  <w:endnote w:type="continuationSeparator" w:id="0">
    <w:p w14:paraId="734990C6" w14:textId="77777777" w:rsidR="00B208B3" w:rsidRDefault="00B208B3" w:rsidP="0056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CC5A" w14:textId="77777777"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6583C" w14:textId="77777777" w:rsidR="003E72C6" w:rsidRDefault="003E72C6" w:rsidP="00456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6FD1" w14:textId="6CDBBA0F"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8D5">
      <w:rPr>
        <w:rStyle w:val="PageNumber"/>
        <w:noProof/>
      </w:rPr>
      <w:t>1</w:t>
    </w:r>
    <w:r>
      <w:rPr>
        <w:rStyle w:val="PageNumber"/>
      </w:rPr>
      <w:fldChar w:fldCharType="end"/>
    </w:r>
  </w:p>
  <w:p w14:paraId="7B41891A" w14:textId="77777777" w:rsidR="003E72C6" w:rsidRDefault="003E72C6" w:rsidP="00456F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DEF" w14:textId="77777777"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E5502" w14:textId="77777777" w:rsidR="003E72C6" w:rsidRDefault="003E72C6" w:rsidP="00456F1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4AD1" w14:textId="2392FEF9" w:rsidR="003E72C6" w:rsidRDefault="003E72C6"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8D5">
      <w:rPr>
        <w:rStyle w:val="PageNumber"/>
        <w:noProof/>
      </w:rPr>
      <w:t>2</w:t>
    </w:r>
    <w:r>
      <w:rPr>
        <w:rStyle w:val="PageNumber"/>
      </w:rPr>
      <w:fldChar w:fldCharType="end"/>
    </w:r>
  </w:p>
  <w:p w14:paraId="5A60B36D" w14:textId="77777777" w:rsidR="003E72C6" w:rsidRDefault="003E72C6" w:rsidP="00456F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66545" w14:textId="77777777" w:rsidR="00B208B3" w:rsidRDefault="00B208B3" w:rsidP="00567172">
      <w:r>
        <w:separator/>
      </w:r>
    </w:p>
  </w:footnote>
  <w:footnote w:type="continuationSeparator" w:id="0">
    <w:p w14:paraId="225EC50B" w14:textId="77777777" w:rsidR="00B208B3" w:rsidRDefault="00B208B3" w:rsidP="0056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9401" w14:textId="77777777" w:rsidR="003E72C6" w:rsidRPr="00100124" w:rsidRDefault="003E72C6" w:rsidP="00027F2D">
    <w:pPr>
      <w:widowControl w:val="0"/>
      <w:rPr>
        <w:bCs/>
      </w:rPr>
    </w:pPr>
    <w:r w:rsidRPr="00100124">
      <w:rPr>
        <w:bCs/>
      </w:rPr>
      <w:t>Department of Economics</w:t>
    </w:r>
    <w:r w:rsidRPr="00100124">
      <w:rPr>
        <w:bCs/>
      </w:rPr>
      <w:tab/>
    </w:r>
    <w:r w:rsidRPr="00100124">
      <w:rPr>
        <w:bCs/>
      </w:rPr>
      <w:tab/>
    </w:r>
    <w:r w:rsidRPr="00100124">
      <w:rPr>
        <w:bCs/>
      </w:rPr>
      <w:tab/>
    </w:r>
    <w:r w:rsidRPr="00100124">
      <w:rPr>
        <w:bCs/>
      </w:rPr>
      <w:tab/>
    </w:r>
    <w:r w:rsidRPr="00100124">
      <w:rPr>
        <w:bCs/>
      </w:rPr>
      <w:tab/>
    </w:r>
    <w:r w:rsidRPr="00100124">
      <w:rPr>
        <w:bCs/>
      </w:rPr>
      <w:tab/>
    </w:r>
    <w:r w:rsidRPr="00100124">
      <w:rPr>
        <w:bCs/>
      </w:rPr>
      <w:tab/>
    </w:r>
    <w:r w:rsidRPr="00100124">
      <w:rPr>
        <w:bCs/>
      </w:rPr>
      <w:tab/>
      <w:t>Spring 2019 Harvard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6DC5" w14:textId="4C4A6869" w:rsidR="003E72C6" w:rsidRPr="0038140B" w:rsidRDefault="003E72C6" w:rsidP="0038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301D"/>
    <w:multiLevelType w:val="hybridMultilevel"/>
    <w:tmpl w:val="ECA06F12"/>
    <w:lvl w:ilvl="0" w:tplc="61D6B766">
      <w:start w:val="1"/>
      <w:numFmt w:val="bullet"/>
      <w:lvlText w:val="•"/>
      <w:lvlJc w:val="left"/>
      <w:pPr>
        <w:tabs>
          <w:tab w:val="num" w:pos="720"/>
        </w:tabs>
        <w:ind w:left="720" w:hanging="360"/>
      </w:pPr>
      <w:rPr>
        <w:rFonts w:ascii="Arial" w:hAnsi="Arial" w:hint="default"/>
      </w:rPr>
    </w:lvl>
    <w:lvl w:ilvl="1" w:tplc="4D5ACE5C">
      <w:start w:val="1"/>
      <w:numFmt w:val="bullet"/>
      <w:lvlText w:val="•"/>
      <w:lvlJc w:val="left"/>
      <w:pPr>
        <w:tabs>
          <w:tab w:val="num" w:pos="1440"/>
        </w:tabs>
        <w:ind w:left="1440" w:hanging="360"/>
      </w:pPr>
      <w:rPr>
        <w:rFonts w:ascii="Arial" w:hAnsi="Arial" w:hint="default"/>
      </w:rPr>
    </w:lvl>
    <w:lvl w:ilvl="2" w:tplc="459E275C" w:tentative="1">
      <w:start w:val="1"/>
      <w:numFmt w:val="bullet"/>
      <w:lvlText w:val="•"/>
      <w:lvlJc w:val="left"/>
      <w:pPr>
        <w:tabs>
          <w:tab w:val="num" w:pos="2160"/>
        </w:tabs>
        <w:ind w:left="2160" w:hanging="360"/>
      </w:pPr>
      <w:rPr>
        <w:rFonts w:ascii="Arial" w:hAnsi="Arial" w:hint="default"/>
      </w:rPr>
    </w:lvl>
    <w:lvl w:ilvl="3" w:tplc="4848689C" w:tentative="1">
      <w:start w:val="1"/>
      <w:numFmt w:val="bullet"/>
      <w:lvlText w:val="•"/>
      <w:lvlJc w:val="left"/>
      <w:pPr>
        <w:tabs>
          <w:tab w:val="num" w:pos="2880"/>
        </w:tabs>
        <w:ind w:left="2880" w:hanging="360"/>
      </w:pPr>
      <w:rPr>
        <w:rFonts w:ascii="Arial" w:hAnsi="Arial" w:hint="default"/>
      </w:rPr>
    </w:lvl>
    <w:lvl w:ilvl="4" w:tplc="B314B4A4" w:tentative="1">
      <w:start w:val="1"/>
      <w:numFmt w:val="bullet"/>
      <w:lvlText w:val="•"/>
      <w:lvlJc w:val="left"/>
      <w:pPr>
        <w:tabs>
          <w:tab w:val="num" w:pos="3600"/>
        </w:tabs>
        <w:ind w:left="3600" w:hanging="360"/>
      </w:pPr>
      <w:rPr>
        <w:rFonts w:ascii="Arial" w:hAnsi="Arial" w:hint="default"/>
      </w:rPr>
    </w:lvl>
    <w:lvl w:ilvl="5" w:tplc="AF74A790" w:tentative="1">
      <w:start w:val="1"/>
      <w:numFmt w:val="bullet"/>
      <w:lvlText w:val="•"/>
      <w:lvlJc w:val="left"/>
      <w:pPr>
        <w:tabs>
          <w:tab w:val="num" w:pos="4320"/>
        </w:tabs>
        <w:ind w:left="4320" w:hanging="360"/>
      </w:pPr>
      <w:rPr>
        <w:rFonts w:ascii="Arial" w:hAnsi="Arial" w:hint="default"/>
      </w:rPr>
    </w:lvl>
    <w:lvl w:ilvl="6" w:tplc="C6927070" w:tentative="1">
      <w:start w:val="1"/>
      <w:numFmt w:val="bullet"/>
      <w:lvlText w:val="•"/>
      <w:lvlJc w:val="left"/>
      <w:pPr>
        <w:tabs>
          <w:tab w:val="num" w:pos="5040"/>
        </w:tabs>
        <w:ind w:left="5040" w:hanging="360"/>
      </w:pPr>
      <w:rPr>
        <w:rFonts w:ascii="Arial" w:hAnsi="Arial" w:hint="default"/>
      </w:rPr>
    </w:lvl>
    <w:lvl w:ilvl="7" w:tplc="0018D5A8" w:tentative="1">
      <w:start w:val="1"/>
      <w:numFmt w:val="bullet"/>
      <w:lvlText w:val="•"/>
      <w:lvlJc w:val="left"/>
      <w:pPr>
        <w:tabs>
          <w:tab w:val="num" w:pos="5760"/>
        </w:tabs>
        <w:ind w:left="5760" w:hanging="360"/>
      </w:pPr>
      <w:rPr>
        <w:rFonts w:ascii="Arial" w:hAnsi="Arial" w:hint="default"/>
      </w:rPr>
    </w:lvl>
    <w:lvl w:ilvl="8" w:tplc="260053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72"/>
    <w:rsid w:val="000012C9"/>
    <w:rsid w:val="0000439C"/>
    <w:rsid w:val="00013073"/>
    <w:rsid w:val="00013E89"/>
    <w:rsid w:val="00020D80"/>
    <w:rsid w:val="00023C19"/>
    <w:rsid w:val="00024652"/>
    <w:rsid w:val="00025826"/>
    <w:rsid w:val="00027F2D"/>
    <w:rsid w:val="000300BC"/>
    <w:rsid w:val="00030746"/>
    <w:rsid w:val="00032398"/>
    <w:rsid w:val="00041B83"/>
    <w:rsid w:val="00043FC8"/>
    <w:rsid w:val="0005078C"/>
    <w:rsid w:val="00050FB6"/>
    <w:rsid w:val="0006002E"/>
    <w:rsid w:val="000607DF"/>
    <w:rsid w:val="00064983"/>
    <w:rsid w:val="00066ECE"/>
    <w:rsid w:val="00067ECB"/>
    <w:rsid w:val="00072581"/>
    <w:rsid w:val="000823BB"/>
    <w:rsid w:val="000826F2"/>
    <w:rsid w:val="00086B39"/>
    <w:rsid w:val="000913DA"/>
    <w:rsid w:val="00091473"/>
    <w:rsid w:val="00092E7A"/>
    <w:rsid w:val="000A19D9"/>
    <w:rsid w:val="000A46BF"/>
    <w:rsid w:val="000B1482"/>
    <w:rsid w:val="000B15B4"/>
    <w:rsid w:val="000B52ED"/>
    <w:rsid w:val="000C0297"/>
    <w:rsid w:val="000C2445"/>
    <w:rsid w:val="000C6976"/>
    <w:rsid w:val="000D276F"/>
    <w:rsid w:val="000D36EF"/>
    <w:rsid w:val="000E0B52"/>
    <w:rsid w:val="000E1A71"/>
    <w:rsid w:val="000E4663"/>
    <w:rsid w:val="000F0363"/>
    <w:rsid w:val="000F18F7"/>
    <w:rsid w:val="000F6450"/>
    <w:rsid w:val="000F6EAF"/>
    <w:rsid w:val="00100124"/>
    <w:rsid w:val="00101153"/>
    <w:rsid w:val="00101960"/>
    <w:rsid w:val="00103654"/>
    <w:rsid w:val="00111350"/>
    <w:rsid w:val="001151B0"/>
    <w:rsid w:val="00115A7A"/>
    <w:rsid w:val="001215F6"/>
    <w:rsid w:val="00121767"/>
    <w:rsid w:val="00123C0D"/>
    <w:rsid w:val="00124214"/>
    <w:rsid w:val="00127DB5"/>
    <w:rsid w:val="00131CD2"/>
    <w:rsid w:val="00132687"/>
    <w:rsid w:val="00135035"/>
    <w:rsid w:val="00143DDC"/>
    <w:rsid w:val="00150E46"/>
    <w:rsid w:val="00156099"/>
    <w:rsid w:val="00166978"/>
    <w:rsid w:val="001761A7"/>
    <w:rsid w:val="00176900"/>
    <w:rsid w:val="00186B40"/>
    <w:rsid w:val="00192347"/>
    <w:rsid w:val="0019299F"/>
    <w:rsid w:val="001A1900"/>
    <w:rsid w:val="001A1D5E"/>
    <w:rsid w:val="001A3488"/>
    <w:rsid w:val="001B6659"/>
    <w:rsid w:val="001C49C7"/>
    <w:rsid w:val="001C5B96"/>
    <w:rsid w:val="001D1542"/>
    <w:rsid w:val="001D4E39"/>
    <w:rsid w:val="001D61AA"/>
    <w:rsid w:val="001D7269"/>
    <w:rsid w:val="001D75E3"/>
    <w:rsid w:val="001D75E5"/>
    <w:rsid w:val="001E22AA"/>
    <w:rsid w:val="001F4DCE"/>
    <w:rsid w:val="00214A86"/>
    <w:rsid w:val="00214D54"/>
    <w:rsid w:val="0021696F"/>
    <w:rsid w:val="002221DA"/>
    <w:rsid w:val="002238D7"/>
    <w:rsid w:val="002340DB"/>
    <w:rsid w:val="00234206"/>
    <w:rsid w:val="00241247"/>
    <w:rsid w:val="0024329E"/>
    <w:rsid w:val="00244C57"/>
    <w:rsid w:val="0025047A"/>
    <w:rsid w:val="00251651"/>
    <w:rsid w:val="002533CA"/>
    <w:rsid w:val="0025432F"/>
    <w:rsid w:val="00255FB3"/>
    <w:rsid w:val="002610F3"/>
    <w:rsid w:val="00264370"/>
    <w:rsid w:val="00264C0E"/>
    <w:rsid w:val="0026732C"/>
    <w:rsid w:val="002734D4"/>
    <w:rsid w:val="00273DD8"/>
    <w:rsid w:val="00297F51"/>
    <w:rsid w:val="002A0D9A"/>
    <w:rsid w:val="002B04A7"/>
    <w:rsid w:val="002B184A"/>
    <w:rsid w:val="002C1C4F"/>
    <w:rsid w:val="002C2E83"/>
    <w:rsid w:val="002C5EA8"/>
    <w:rsid w:val="002D0606"/>
    <w:rsid w:val="002D2457"/>
    <w:rsid w:val="002E2313"/>
    <w:rsid w:val="002F48C3"/>
    <w:rsid w:val="002F5D81"/>
    <w:rsid w:val="003143E3"/>
    <w:rsid w:val="00314EB9"/>
    <w:rsid w:val="003275B6"/>
    <w:rsid w:val="003370FA"/>
    <w:rsid w:val="0033759D"/>
    <w:rsid w:val="00341083"/>
    <w:rsid w:val="003504A9"/>
    <w:rsid w:val="00363B90"/>
    <w:rsid w:val="0036451E"/>
    <w:rsid w:val="00364A1F"/>
    <w:rsid w:val="00371C2B"/>
    <w:rsid w:val="00374699"/>
    <w:rsid w:val="003808B4"/>
    <w:rsid w:val="0038140B"/>
    <w:rsid w:val="0038301A"/>
    <w:rsid w:val="00384EB0"/>
    <w:rsid w:val="00387825"/>
    <w:rsid w:val="003A1FD3"/>
    <w:rsid w:val="003A281B"/>
    <w:rsid w:val="003A46F0"/>
    <w:rsid w:val="003D78E5"/>
    <w:rsid w:val="003E45F5"/>
    <w:rsid w:val="003E72C6"/>
    <w:rsid w:val="003F19E0"/>
    <w:rsid w:val="003F2543"/>
    <w:rsid w:val="003F3A1A"/>
    <w:rsid w:val="003F51C3"/>
    <w:rsid w:val="003F655D"/>
    <w:rsid w:val="004045C8"/>
    <w:rsid w:val="00410BAA"/>
    <w:rsid w:val="0041783A"/>
    <w:rsid w:val="00420477"/>
    <w:rsid w:val="00423569"/>
    <w:rsid w:val="00426167"/>
    <w:rsid w:val="0042688D"/>
    <w:rsid w:val="004302FF"/>
    <w:rsid w:val="004319D2"/>
    <w:rsid w:val="00431BBF"/>
    <w:rsid w:val="00434145"/>
    <w:rsid w:val="00434349"/>
    <w:rsid w:val="004563B5"/>
    <w:rsid w:val="00456F12"/>
    <w:rsid w:val="0045738A"/>
    <w:rsid w:val="004576E0"/>
    <w:rsid w:val="00462FC3"/>
    <w:rsid w:val="00463A0D"/>
    <w:rsid w:val="00464203"/>
    <w:rsid w:val="004645B3"/>
    <w:rsid w:val="00466DB6"/>
    <w:rsid w:val="00467137"/>
    <w:rsid w:val="00470614"/>
    <w:rsid w:val="00484E42"/>
    <w:rsid w:val="00491F35"/>
    <w:rsid w:val="00495FD8"/>
    <w:rsid w:val="00497B34"/>
    <w:rsid w:val="004A0F4D"/>
    <w:rsid w:val="004B7A54"/>
    <w:rsid w:val="004B7C4C"/>
    <w:rsid w:val="004C0BB2"/>
    <w:rsid w:val="004C1A5F"/>
    <w:rsid w:val="004C2F85"/>
    <w:rsid w:val="004C5018"/>
    <w:rsid w:val="004D20A0"/>
    <w:rsid w:val="004F52B0"/>
    <w:rsid w:val="004F66A8"/>
    <w:rsid w:val="00505320"/>
    <w:rsid w:val="00507777"/>
    <w:rsid w:val="00507B81"/>
    <w:rsid w:val="00517CAD"/>
    <w:rsid w:val="005216AF"/>
    <w:rsid w:val="00523414"/>
    <w:rsid w:val="00526357"/>
    <w:rsid w:val="00527632"/>
    <w:rsid w:val="0053278A"/>
    <w:rsid w:val="00545D0F"/>
    <w:rsid w:val="00546976"/>
    <w:rsid w:val="00553612"/>
    <w:rsid w:val="005545EE"/>
    <w:rsid w:val="00567172"/>
    <w:rsid w:val="005745E2"/>
    <w:rsid w:val="005772A7"/>
    <w:rsid w:val="00587336"/>
    <w:rsid w:val="00591637"/>
    <w:rsid w:val="005919D9"/>
    <w:rsid w:val="005963B4"/>
    <w:rsid w:val="005A3514"/>
    <w:rsid w:val="005B064B"/>
    <w:rsid w:val="005B7C6F"/>
    <w:rsid w:val="005C38C4"/>
    <w:rsid w:val="005C4AA9"/>
    <w:rsid w:val="005C643E"/>
    <w:rsid w:val="005D09F8"/>
    <w:rsid w:val="005D1A1D"/>
    <w:rsid w:val="005D2982"/>
    <w:rsid w:val="005E3279"/>
    <w:rsid w:val="005E4A2E"/>
    <w:rsid w:val="005F0234"/>
    <w:rsid w:val="00610D60"/>
    <w:rsid w:val="00610E1D"/>
    <w:rsid w:val="00612882"/>
    <w:rsid w:val="006257BF"/>
    <w:rsid w:val="00625E50"/>
    <w:rsid w:val="006262E8"/>
    <w:rsid w:val="00631D69"/>
    <w:rsid w:val="00635D19"/>
    <w:rsid w:val="00642812"/>
    <w:rsid w:val="006434A8"/>
    <w:rsid w:val="00644435"/>
    <w:rsid w:val="00647538"/>
    <w:rsid w:val="00655DA7"/>
    <w:rsid w:val="006669F3"/>
    <w:rsid w:val="00675812"/>
    <w:rsid w:val="00677CAD"/>
    <w:rsid w:val="00681C24"/>
    <w:rsid w:val="00683C25"/>
    <w:rsid w:val="006874E0"/>
    <w:rsid w:val="006875F9"/>
    <w:rsid w:val="0069014E"/>
    <w:rsid w:val="00690514"/>
    <w:rsid w:val="006918A1"/>
    <w:rsid w:val="006A78BC"/>
    <w:rsid w:val="006B08A4"/>
    <w:rsid w:val="006B170C"/>
    <w:rsid w:val="006B2B07"/>
    <w:rsid w:val="006C0AA3"/>
    <w:rsid w:val="006C5E61"/>
    <w:rsid w:val="006C5E63"/>
    <w:rsid w:val="006E57AA"/>
    <w:rsid w:val="006F007A"/>
    <w:rsid w:val="006F58CC"/>
    <w:rsid w:val="00702A8C"/>
    <w:rsid w:val="00704846"/>
    <w:rsid w:val="0070510C"/>
    <w:rsid w:val="00712AA8"/>
    <w:rsid w:val="0071764F"/>
    <w:rsid w:val="00717C71"/>
    <w:rsid w:val="007252B3"/>
    <w:rsid w:val="007272B0"/>
    <w:rsid w:val="00741208"/>
    <w:rsid w:val="00746B15"/>
    <w:rsid w:val="0075232C"/>
    <w:rsid w:val="00764B92"/>
    <w:rsid w:val="00773A83"/>
    <w:rsid w:val="0077798F"/>
    <w:rsid w:val="00783E94"/>
    <w:rsid w:val="00797775"/>
    <w:rsid w:val="007A0878"/>
    <w:rsid w:val="007A0968"/>
    <w:rsid w:val="007A0AFC"/>
    <w:rsid w:val="007B00A7"/>
    <w:rsid w:val="007B1892"/>
    <w:rsid w:val="007B3EB2"/>
    <w:rsid w:val="007C0C41"/>
    <w:rsid w:val="007C2DDE"/>
    <w:rsid w:val="007C671E"/>
    <w:rsid w:val="007D230D"/>
    <w:rsid w:val="007D7A93"/>
    <w:rsid w:val="007E018B"/>
    <w:rsid w:val="007E1BA3"/>
    <w:rsid w:val="007F5804"/>
    <w:rsid w:val="00803EFF"/>
    <w:rsid w:val="00804B22"/>
    <w:rsid w:val="00810036"/>
    <w:rsid w:val="00814541"/>
    <w:rsid w:val="00814BCE"/>
    <w:rsid w:val="008151FA"/>
    <w:rsid w:val="0082164E"/>
    <w:rsid w:val="008230F5"/>
    <w:rsid w:val="0083071E"/>
    <w:rsid w:val="00831C22"/>
    <w:rsid w:val="008339F8"/>
    <w:rsid w:val="00835DBA"/>
    <w:rsid w:val="00837DD4"/>
    <w:rsid w:val="00840EA4"/>
    <w:rsid w:val="00840F25"/>
    <w:rsid w:val="0084175B"/>
    <w:rsid w:val="00841920"/>
    <w:rsid w:val="00844AEF"/>
    <w:rsid w:val="00844FC9"/>
    <w:rsid w:val="008541E9"/>
    <w:rsid w:val="00854F23"/>
    <w:rsid w:val="008608F1"/>
    <w:rsid w:val="00863B50"/>
    <w:rsid w:val="0086439F"/>
    <w:rsid w:val="00864B44"/>
    <w:rsid w:val="00867C2F"/>
    <w:rsid w:val="00877AE2"/>
    <w:rsid w:val="00880A06"/>
    <w:rsid w:val="00887D4B"/>
    <w:rsid w:val="00895363"/>
    <w:rsid w:val="008A2EFF"/>
    <w:rsid w:val="008A3276"/>
    <w:rsid w:val="008A7D15"/>
    <w:rsid w:val="008B029E"/>
    <w:rsid w:val="008B5CB8"/>
    <w:rsid w:val="008C0AA8"/>
    <w:rsid w:val="008C6B9C"/>
    <w:rsid w:val="008C701B"/>
    <w:rsid w:val="008E1D2B"/>
    <w:rsid w:val="008E2F96"/>
    <w:rsid w:val="008E3B25"/>
    <w:rsid w:val="008E4691"/>
    <w:rsid w:val="008E4D23"/>
    <w:rsid w:val="008E5AAF"/>
    <w:rsid w:val="008F4B02"/>
    <w:rsid w:val="008F58CE"/>
    <w:rsid w:val="008F58E1"/>
    <w:rsid w:val="0090432E"/>
    <w:rsid w:val="00904945"/>
    <w:rsid w:val="009122D8"/>
    <w:rsid w:val="009208D5"/>
    <w:rsid w:val="0092334A"/>
    <w:rsid w:val="00923FC7"/>
    <w:rsid w:val="009336DF"/>
    <w:rsid w:val="0094189B"/>
    <w:rsid w:val="00950187"/>
    <w:rsid w:val="00950881"/>
    <w:rsid w:val="0095790E"/>
    <w:rsid w:val="00961054"/>
    <w:rsid w:val="00961203"/>
    <w:rsid w:val="009778E8"/>
    <w:rsid w:val="00977FBF"/>
    <w:rsid w:val="00980E18"/>
    <w:rsid w:val="009844F7"/>
    <w:rsid w:val="00985086"/>
    <w:rsid w:val="0098522D"/>
    <w:rsid w:val="00992565"/>
    <w:rsid w:val="00992679"/>
    <w:rsid w:val="009969F7"/>
    <w:rsid w:val="00997DC4"/>
    <w:rsid w:val="009A033B"/>
    <w:rsid w:val="009A2774"/>
    <w:rsid w:val="009B50A8"/>
    <w:rsid w:val="009B6B16"/>
    <w:rsid w:val="009C09DF"/>
    <w:rsid w:val="009C0CE8"/>
    <w:rsid w:val="009C0FF9"/>
    <w:rsid w:val="009D37FF"/>
    <w:rsid w:val="009D57DB"/>
    <w:rsid w:val="009E0BD5"/>
    <w:rsid w:val="009F0A55"/>
    <w:rsid w:val="009F2477"/>
    <w:rsid w:val="00A029AA"/>
    <w:rsid w:val="00A07DF2"/>
    <w:rsid w:val="00A1245A"/>
    <w:rsid w:val="00A20AD4"/>
    <w:rsid w:val="00A22A99"/>
    <w:rsid w:val="00A306BD"/>
    <w:rsid w:val="00A370AB"/>
    <w:rsid w:val="00A42BF3"/>
    <w:rsid w:val="00A44836"/>
    <w:rsid w:val="00A44BA4"/>
    <w:rsid w:val="00A4686C"/>
    <w:rsid w:val="00A5010B"/>
    <w:rsid w:val="00A576FF"/>
    <w:rsid w:val="00A60812"/>
    <w:rsid w:val="00A71574"/>
    <w:rsid w:val="00A72F7A"/>
    <w:rsid w:val="00A72F88"/>
    <w:rsid w:val="00A81C24"/>
    <w:rsid w:val="00A86139"/>
    <w:rsid w:val="00A9143B"/>
    <w:rsid w:val="00A917E9"/>
    <w:rsid w:val="00A95DB2"/>
    <w:rsid w:val="00A962EB"/>
    <w:rsid w:val="00AA101A"/>
    <w:rsid w:val="00AA14EB"/>
    <w:rsid w:val="00AA1D0C"/>
    <w:rsid w:val="00AD2207"/>
    <w:rsid w:val="00AD4077"/>
    <w:rsid w:val="00AE05C3"/>
    <w:rsid w:val="00AE178D"/>
    <w:rsid w:val="00AF0082"/>
    <w:rsid w:val="00AF4E6D"/>
    <w:rsid w:val="00AF77F2"/>
    <w:rsid w:val="00B0091C"/>
    <w:rsid w:val="00B0182B"/>
    <w:rsid w:val="00B02A32"/>
    <w:rsid w:val="00B16F48"/>
    <w:rsid w:val="00B17FF2"/>
    <w:rsid w:val="00B208B3"/>
    <w:rsid w:val="00B26D97"/>
    <w:rsid w:val="00B40F9F"/>
    <w:rsid w:val="00B44C32"/>
    <w:rsid w:val="00B52ECA"/>
    <w:rsid w:val="00B53DA9"/>
    <w:rsid w:val="00B63A7E"/>
    <w:rsid w:val="00B644DB"/>
    <w:rsid w:val="00B6552B"/>
    <w:rsid w:val="00B67B46"/>
    <w:rsid w:val="00B772D6"/>
    <w:rsid w:val="00B90E1E"/>
    <w:rsid w:val="00B910D9"/>
    <w:rsid w:val="00BB0281"/>
    <w:rsid w:val="00BB1C77"/>
    <w:rsid w:val="00BB3AA3"/>
    <w:rsid w:val="00BB7F40"/>
    <w:rsid w:val="00BC1507"/>
    <w:rsid w:val="00BC4057"/>
    <w:rsid w:val="00BC6B20"/>
    <w:rsid w:val="00BC75CF"/>
    <w:rsid w:val="00BD1829"/>
    <w:rsid w:val="00BD4513"/>
    <w:rsid w:val="00BD4854"/>
    <w:rsid w:val="00BD66AD"/>
    <w:rsid w:val="00BE2FED"/>
    <w:rsid w:val="00BE4DFB"/>
    <w:rsid w:val="00BE7A80"/>
    <w:rsid w:val="00BF3D84"/>
    <w:rsid w:val="00BF4B72"/>
    <w:rsid w:val="00C04C45"/>
    <w:rsid w:val="00C04E2C"/>
    <w:rsid w:val="00C15AB5"/>
    <w:rsid w:val="00C27701"/>
    <w:rsid w:val="00C278D9"/>
    <w:rsid w:val="00C30AF5"/>
    <w:rsid w:val="00C3350A"/>
    <w:rsid w:val="00C3571A"/>
    <w:rsid w:val="00C36E44"/>
    <w:rsid w:val="00C51A72"/>
    <w:rsid w:val="00C539E6"/>
    <w:rsid w:val="00C547E2"/>
    <w:rsid w:val="00C576D1"/>
    <w:rsid w:val="00C57F4C"/>
    <w:rsid w:val="00C6734A"/>
    <w:rsid w:val="00C76470"/>
    <w:rsid w:val="00C81429"/>
    <w:rsid w:val="00C83722"/>
    <w:rsid w:val="00C861FC"/>
    <w:rsid w:val="00C9216B"/>
    <w:rsid w:val="00CA4B2D"/>
    <w:rsid w:val="00CA7000"/>
    <w:rsid w:val="00CB2F00"/>
    <w:rsid w:val="00CB2F94"/>
    <w:rsid w:val="00CB6412"/>
    <w:rsid w:val="00CC6F2F"/>
    <w:rsid w:val="00CC764D"/>
    <w:rsid w:val="00CD2428"/>
    <w:rsid w:val="00CD272E"/>
    <w:rsid w:val="00CE691A"/>
    <w:rsid w:val="00CF16D3"/>
    <w:rsid w:val="00CF2F5E"/>
    <w:rsid w:val="00D038EF"/>
    <w:rsid w:val="00D0506C"/>
    <w:rsid w:val="00D0794A"/>
    <w:rsid w:val="00D111D5"/>
    <w:rsid w:val="00D16266"/>
    <w:rsid w:val="00D216CD"/>
    <w:rsid w:val="00D21867"/>
    <w:rsid w:val="00D25C94"/>
    <w:rsid w:val="00D26C75"/>
    <w:rsid w:val="00D27383"/>
    <w:rsid w:val="00D3280C"/>
    <w:rsid w:val="00D50D13"/>
    <w:rsid w:val="00D6603A"/>
    <w:rsid w:val="00D718C1"/>
    <w:rsid w:val="00D71EF6"/>
    <w:rsid w:val="00D73501"/>
    <w:rsid w:val="00D73B7D"/>
    <w:rsid w:val="00D755A2"/>
    <w:rsid w:val="00D833C2"/>
    <w:rsid w:val="00D851F4"/>
    <w:rsid w:val="00D8586A"/>
    <w:rsid w:val="00D871AB"/>
    <w:rsid w:val="00D87901"/>
    <w:rsid w:val="00D933EB"/>
    <w:rsid w:val="00DA3373"/>
    <w:rsid w:val="00DB2D64"/>
    <w:rsid w:val="00DB3DA5"/>
    <w:rsid w:val="00DC2CB8"/>
    <w:rsid w:val="00DD0C62"/>
    <w:rsid w:val="00DD1169"/>
    <w:rsid w:val="00DD1ECA"/>
    <w:rsid w:val="00DE6C45"/>
    <w:rsid w:val="00DF1E70"/>
    <w:rsid w:val="00E039DD"/>
    <w:rsid w:val="00E127D6"/>
    <w:rsid w:val="00E17748"/>
    <w:rsid w:val="00E26256"/>
    <w:rsid w:val="00E26E1C"/>
    <w:rsid w:val="00E32A9C"/>
    <w:rsid w:val="00E37C3E"/>
    <w:rsid w:val="00E516E5"/>
    <w:rsid w:val="00E529BE"/>
    <w:rsid w:val="00E54092"/>
    <w:rsid w:val="00E62A8D"/>
    <w:rsid w:val="00E918F3"/>
    <w:rsid w:val="00E949BB"/>
    <w:rsid w:val="00EA063E"/>
    <w:rsid w:val="00EA0B75"/>
    <w:rsid w:val="00EB1027"/>
    <w:rsid w:val="00EB23F9"/>
    <w:rsid w:val="00EB4F32"/>
    <w:rsid w:val="00EC2674"/>
    <w:rsid w:val="00EC4157"/>
    <w:rsid w:val="00ED2AEA"/>
    <w:rsid w:val="00ED4255"/>
    <w:rsid w:val="00ED4FC7"/>
    <w:rsid w:val="00EE0E1D"/>
    <w:rsid w:val="00EF01B2"/>
    <w:rsid w:val="00EF246E"/>
    <w:rsid w:val="00EF3E10"/>
    <w:rsid w:val="00F01A53"/>
    <w:rsid w:val="00F22392"/>
    <w:rsid w:val="00F24D6F"/>
    <w:rsid w:val="00F32C38"/>
    <w:rsid w:val="00F33FD0"/>
    <w:rsid w:val="00F35D94"/>
    <w:rsid w:val="00F432D4"/>
    <w:rsid w:val="00F45368"/>
    <w:rsid w:val="00F52517"/>
    <w:rsid w:val="00F54C83"/>
    <w:rsid w:val="00F55942"/>
    <w:rsid w:val="00F60B7C"/>
    <w:rsid w:val="00F614F1"/>
    <w:rsid w:val="00F64632"/>
    <w:rsid w:val="00F64C26"/>
    <w:rsid w:val="00F65331"/>
    <w:rsid w:val="00F665E7"/>
    <w:rsid w:val="00F75831"/>
    <w:rsid w:val="00F80CC4"/>
    <w:rsid w:val="00F8145F"/>
    <w:rsid w:val="00F816D5"/>
    <w:rsid w:val="00F84E5C"/>
    <w:rsid w:val="00FA04D6"/>
    <w:rsid w:val="00FA1E7A"/>
    <w:rsid w:val="00FB075F"/>
    <w:rsid w:val="00FC11FC"/>
    <w:rsid w:val="00FC3720"/>
    <w:rsid w:val="00FC3C86"/>
    <w:rsid w:val="00FD09FE"/>
    <w:rsid w:val="00FD2E40"/>
    <w:rsid w:val="00FE2E4D"/>
    <w:rsid w:val="00FE5DC6"/>
    <w:rsid w:val="00FF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3"/>
    <w:rPr>
      <w:rFonts w:ascii="Times New Roman" w:eastAsia="Times New Roman" w:hAnsi="Times New Roman" w:cs="Times New Roman"/>
    </w:rPr>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 w:type="character" w:customStyle="1" w:styleId="UnresolvedMention1">
    <w:name w:val="Unresolved Mention1"/>
    <w:basedOn w:val="DefaultParagraphFont"/>
    <w:uiPriority w:val="99"/>
    <w:semiHidden/>
    <w:unhideWhenUsed/>
    <w:rsid w:val="001D61AA"/>
    <w:rPr>
      <w:color w:val="605E5C"/>
      <w:shd w:val="clear" w:color="auto" w:fill="E1DFDD"/>
    </w:rPr>
  </w:style>
  <w:style w:type="paragraph" w:styleId="BalloonText">
    <w:name w:val="Balloon Text"/>
    <w:basedOn w:val="Normal"/>
    <w:link w:val="BalloonTextChar"/>
    <w:uiPriority w:val="99"/>
    <w:semiHidden/>
    <w:unhideWhenUsed/>
    <w:rsid w:val="005C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F0082"/>
    <w:rPr>
      <w:color w:val="605E5C"/>
      <w:shd w:val="clear" w:color="auto" w:fill="E1DFDD"/>
    </w:rPr>
  </w:style>
  <w:style w:type="character" w:customStyle="1" w:styleId="UnresolvedMention3">
    <w:name w:val="Unresolved Mention3"/>
    <w:basedOn w:val="DefaultParagraphFont"/>
    <w:uiPriority w:val="99"/>
    <w:semiHidden/>
    <w:unhideWhenUsed/>
    <w:rsid w:val="00CE691A"/>
    <w:rPr>
      <w:color w:val="605E5C"/>
      <w:shd w:val="clear" w:color="auto" w:fill="E1DFDD"/>
    </w:rPr>
  </w:style>
  <w:style w:type="character" w:customStyle="1" w:styleId="UnresolvedMention">
    <w:name w:val="Unresolved Mention"/>
    <w:basedOn w:val="DefaultParagraphFont"/>
    <w:uiPriority w:val="99"/>
    <w:semiHidden/>
    <w:unhideWhenUsed/>
    <w:rsid w:val="005276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3"/>
    <w:rPr>
      <w:rFonts w:ascii="Times New Roman" w:eastAsia="Times New Roman" w:hAnsi="Times New Roman" w:cs="Times New Roman"/>
    </w:rPr>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 w:type="character" w:customStyle="1" w:styleId="UnresolvedMention1">
    <w:name w:val="Unresolved Mention1"/>
    <w:basedOn w:val="DefaultParagraphFont"/>
    <w:uiPriority w:val="99"/>
    <w:semiHidden/>
    <w:unhideWhenUsed/>
    <w:rsid w:val="001D61AA"/>
    <w:rPr>
      <w:color w:val="605E5C"/>
      <w:shd w:val="clear" w:color="auto" w:fill="E1DFDD"/>
    </w:rPr>
  </w:style>
  <w:style w:type="paragraph" w:styleId="BalloonText">
    <w:name w:val="Balloon Text"/>
    <w:basedOn w:val="Normal"/>
    <w:link w:val="BalloonTextChar"/>
    <w:uiPriority w:val="99"/>
    <w:semiHidden/>
    <w:unhideWhenUsed/>
    <w:rsid w:val="005C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F0082"/>
    <w:rPr>
      <w:color w:val="605E5C"/>
      <w:shd w:val="clear" w:color="auto" w:fill="E1DFDD"/>
    </w:rPr>
  </w:style>
  <w:style w:type="character" w:customStyle="1" w:styleId="UnresolvedMention3">
    <w:name w:val="Unresolved Mention3"/>
    <w:basedOn w:val="DefaultParagraphFont"/>
    <w:uiPriority w:val="99"/>
    <w:semiHidden/>
    <w:unhideWhenUsed/>
    <w:rsid w:val="00CE691A"/>
    <w:rPr>
      <w:color w:val="605E5C"/>
      <w:shd w:val="clear" w:color="auto" w:fill="E1DFDD"/>
    </w:rPr>
  </w:style>
  <w:style w:type="character" w:customStyle="1" w:styleId="UnresolvedMention">
    <w:name w:val="Unresolved Mention"/>
    <w:basedOn w:val="DefaultParagraphFont"/>
    <w:uiPriority w:val="99"/>
    <w:semiHidden/>
    <w:unhideWhenUsed/>
    <w:rsid w:val="0052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110">
      <w:bodyDiv w:val="1"/>
      <w:marLeft w:val="0"/>
      <w:marRight w:val="0"/>
      <w:marTop w:val="0"/>
      <w:marBottom w:val="0"/>
      <w:divBdr>
        <w:top w:val="none" w:sz="0" w:space="0" w:color="auto"/>
        <w:left w:val="none" w:sz="0" w:space="0" w:color="auto"/>
        <w:bottom w:val="none" w:sz="0" w:space="0" w:color="auto"/>
        <w:right w:val="none" w:sz="0" w:space="0" w:color="auto"/>
      </w:divBdr>
    </w:div>
    <w:div w:id="73552194">
      <w:bodyDiv w:val="1"/>
      <w:marLeft w:val="0"/>
      <w:marRight w:val="0"/>
      <w:marTop w:val="0"/>
      <w:marBottom w:val="0"/>
      <w:divBdr>
        <w:top w:val="none" w:sz="0" w:space="0" w:color="auto"/>
        <w:left w:val="none" w:sz="0" w:space="0" w:color="auto"/>
        <w:bottom w:val="none" w:sz="0" w:space="0" w:color="auto"/>
        <w:right w:val="none" w:sz="0" w:space="0" w:color="auto"/>
      </w:divBdr>
    </w:div>
    <w:div w:id="86317820">
      <w:bodyDiv w:val="1"/>
      <w:marLeft w:val="0"/>
      <w:marRight w:val="0"/>
      <w:marTop w:val="0"/>
      <w:marBottom w:val="0"/>
      <w:divBdr>
        <w:top w:val="none" w:sz="0" w:space="0" w:color="auto"/>
        <w:left w:val="none" w:sz="0" w:space="0" w:color="auto"/>
        <w:bottom w:val="none" w:sz="0" w:space="0" w:color="auto"/>
        <w:right w:val="none" w:sz="0" w:space="0" w:color="auto"/>
      </w:divBdr>
      <w:divsChild>
        <w:div w:id="1291280838">
          <w:marLeft w:val="0"/>
          <w:marRight w:val="0"/>
          <w:marTop w:val="0"/>
          <w:marBottom w:val="0"/>
          <w:divBdr>
            <w:top w:val="none" w:sz="0" w:space="0" w:color="auto"/>
            <w:left w:val="none" w:sz="0" w:space="0" w:color="auto"/>
            <w:bottom w:val="none" w:sz="0" w:space="0" w:color="auto"/>
            <w:right w:val="none" w:sz="0" w:space="0" w:color="auto"/>
          </w:divBdr>
        </w:div>
      </w:divsChild>
    </w:div>
    <w:div w:id="123499477">
      <w:bodyDiv w:val="1"/>
      <w:marLeft w:val="0"/>
      <w:marRight w:val="0"/>
      <w:marTop w:val="0"/>
      <w:marBottom w:val="0"/>
      <w:divBdr>
        <w:top w:val="none" w:sz="0" w:space="0" w:color="auto"/>
        <w:left w:val="none" w:sz="0" w:space="0" w:color="auto"/>
        <w:bottom w:val="none" w:sz="0" w:space="0" w:color="auto"/>
        <w:right w:val="none" w:sz="0" w:space="0" w:color="auto"/>
      </w:divBdr>
    </w:div>
    <w:div w:id="141392624">
      <w:bodyDiv w:val="1"/>
      <w:marLeft w:val="0"/>
      <w:marRight w:val="0"/>
      <w:marTop w:val="0"/>
      <w:marBottom w:val="0"/>
      <w:divBdr>
        <w:top w:val="none" w:sz="0" w:space="0" w:color="auto"/>
        <w:left w:val="none" w:sz="0" w:space="0" w:color="auto"/>
        <w:bottom w:val="none" w:sz="0" w:space="0" w:color="auto"/>
        <w:right w:val="none" w:sz="0" w:space="0" w:color="auto"/>
      </w:divBdr>
    </w:div>
    <w:div w:id="173805436">
      <w:bodyDiv w:val="1"/>
      <w:marLeft w:val="0"/>
      <w:marRight w:val="0"/>
      <w:marTop w:val="0"/>
      <w:marBottom w:val="0"/>
      <w:divBdr>
        <w:top w:val="none" w:sz="0" w:space="0" w:color="auto"/>
        <w:left w:val="none" w:sz="0" w:space="0" w:color="auto"/>
        <w:bottom w:val="none" w:sz="0" w:space="0" w:color="auto"/>
        <w:right w:val="none" w:sz="0" w:space="0" w:color="auto"/>
      </w:divBdr>
    </w:div>
    <w:div w:id="206527111">
      <w:bodyDiv w:val="1"/>
      <w:marLeft w:val="0"/>
      <w:marRight w:val="0"/>
      <w:marTop w:val="0"/>
      <w:marBottom w:val="0"/>
      <w:divBdr>
        <w:top w:val="none" w:sz="0" w:space="0" w:color="auto"/>
        <w:left w:val="none" w:sz="0" w:space="0" w:color="auto"/>
        <w:bottom w:val="none" w:sz="0" w:space="0" w:color="auto"/>
        <w:right w:val="none" w:sz="0" w:space="0" w:color="auto"/>
      </w:divBdr>
    </w:div>
    <w:div w:id="281956909">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354313852">
      <w:bodyDiv w:val="1"/>
      <w:marLeft w:val="0"/>
      <w:marRight w:val="0"/>
      <w:marTop w:val="0"/>
      <w:marBottom w:val="0"/>
      <w:divBdr>
        <w:top w:val="none" w:sz="0" w:space="0" w:color="auto"/>
        <w:left w:val="none" w:sz="0" w:space="0" w:color="auto"/>
        <w:bottom w:val="none" w:sz="0" w:space="0" w:color="auto"/>
        <w:right w:val="none" w:sz="0" w:space="0" w:color="auto"/>
      </w:divBdr>
    </w:div>
    <w:div w:id="360933192">
      <w:bodyDiv w:val="1"/>
      <w:marLeft w:val="0"/>
      <w:marRight w:val="0"/>
      <w:marTop w:val="0"/>
      <w:marBottom w:val="0"/>
      <w:divBdr>
        <w:top w:val="none" w:sz="0" w:space="0" w:color="auto"/>
        <w:left w:val="none" w:sz="0" w:space="0" w:color="auto"/>
        <w:bottom w:val="none" w:sz="0" w:space="0" w:color="auto"/>
        <w:right w:val="none" w:sz="0" w:space="0" w:color="auto"/>
      </w:divBdr>
    </w:div>
    <w:div w:id="413476414">
      <w:bodyDiv w:val="1"/>
      <w:marLeft w:val="0"/>
      <w:marRight w:val="0"/>
      <w:marTop w:val="0"/>
      <w:marBottom w:val="0"/>
      <w:divBdr>
        <w:top w:val="none" w:sz="0" w:space="0" w:color="auto"/>
        <w:left w:val="none" w:sz="0" w:space="0" w:color="auto"/>
        <w:bottom w:val="none" w:sz="0" w:space="0" w:color="auto"/>
        <w:right w:val="none" w:sz="0" w:space="0" w:color="auto"/>
      </w:divBdr>
    </w:div>
    <w:div w:id="431055349">
      <w:bodyDiv w:val="1"/>
      <w:marLeft w:val="0"/>
      <w:marRight w:val="0"/>
      <w:marTop w:val="0"/>
      <w:marBottom w:val="0"/>
      <w:divBdr>
        <w:top w:val="none" w:sz="0" w:space="0" w:color="auto"/>
        <w:left w:val="none" w:sz="0" w:space="0" w:color="auto"/>
        <w:bottom w:val="none" w:sz="0" w:space="0" w:color="auto"/>
        <w:right w:val="none" w:sz="0" w:space="0" w:color="auto"/>
      </w:divBdr>
    </w:div>
    <w:div w:id="440807248">
      <w:bodyDiv w:val="1"/>
      <w:marLeft w:val="0"/>
      <w:marRight w:val="0"/>
      <w:marTop w:val="0"/>
      <w:marBottom w:val="0"/>
      <w:divBdr>
        <w:top w:val="none" w:sz="0" w:space="0" w:color="auto"/>
        <w:left w:val="none" w:sz="0" w:space="0" w:color="auto"/>
        <w:bottom w:val="none" w:sz="0" w:space="0" w:color="auto"/>
        <w:right w:val="none" w:sz="0" w:space="0" w:color="auto"/>
      </w:divBdr>
    </w:div>
    <w:div w:id="507138379">
      <w:bodyDiv w:val="1"/>
      <w:marLeft w:val="0"/>
      <w:marRight w:val="0"/>
      <w:marTop w:val="0"/>
      <w:marBottom w:val="0"/>
      <w:divBdr>
        <w:top w:val="none" w:sz="0" w:space="0" w:color="auto"/>
        <w:left w:val="none" w:sz="0" w:space="0" w:color="auto"/>
        <w:bottom w:val="none" w:sz="0" w:space="0" w:color="auto"/>
        <w:right w:val="none" w:sz="0" w:space="0" w:color="auto"/>
      </w:divBdr>
    </w:div>
    <w:div w:id="558708401">
      <w:bodyDiv w:val="1"/>
      <w:marLeft w:val="0"/>
      <w:marRight w:val="0"/>
      <w:marTop w:val="0"/>
      <w:marBottom w:val="0"/>
      <w:divBdr>
        <w:top w:val="none" w:sz="0" w:space="0" w:color="auto"/>
        <w:left w:val="none" w:sz="0" w:space="0" w:color="auto"/>
        <w:bottom w:val="none" w:sz="0" w:space="0" w:color="auto"/>
        <w:right w:val="none" w:sz="0" w:space="0" w:color="auto"/>
      </w:divBdr>
    </w:div>
    <w:div w:id="742030011">
      <w:bodyDiv w:val="1"/>
      <w:marLeft w:val="0"/>
      <w:marRight w:val="0"/>
      <w:marTop w:val="0"/>
      <w:marBottom w:val="0"/>
      <w:divBdr>
        <w:top w:val="none" w:sz="0" w:space="0" w:color="auto"/>
        <w:left w:val="none" w:sz="0" w:space="0" w:color="auto"/>
        <w:bottom w:val="none" w:sz="0" w:space="0" w:color="auto"/>
        <w:right w:val="none" w:sz="0" w:space="0" w:color="auto"/>
      </w:divBdr>
      <w:divsChild>
        <w:div w:id="421033356">
          <w:marLeft w:val="1080"/>
          <w:marRight w:val="0"/>
          <w:marTop w:val="100"/>
          <w:marBottom w:val="360"/>
          <w:divBdr>
            <w:top w:val="none" w:sz="0" w:space="0" w:color="auto"/>
            <w:left w:val="none" w:sz="0" w:space="0" w:color="auto"/>
            <w:bottom w:val="none" w:sz="0" w:space="0" w:color="auto"/>
            <w:right w:val="none" w:sz="0" w:space="0" w:color="auto"/>
          </w:divBdr>
        </w:div>
      </w:divsChild>
    </w:div>
    <w:div w:id="746001643">
      <w:bodyDiv w:val="1"/>
      <w:marLeft w:val="0"/>
      <w:marRight w:val="0"/>
      <w:marTop w:val="0"/>
      <w:marBottom w:val="0"/>
      <w:divBdr>
        <w:top w:val="none" w:sz="0" w:space="0" w:color="auto"/>
        <w:left w:val="none" w:sz="0" w:space="0" w:color="auto"/>
        <w:bottom w:val="none" w:sz="0" w:space="0" w:color="auto"/>
        <w:right w:val="none" w:sz="0" w:space="0" w:color="auto"/>
      </w:divBdr>
    </w:div>
    <w:div w:id="807481572">
      <w:bodyDiv w:val="1"/>
      <w:marLeft w:val="0"/>
      <w:marRight w:val="0"/>
      <w:marTop w:val="0"/>
      <w:marBottom w:val="0"/>
      <w:divBdr>
        <w:top w:val="none" w:sz="0" w:space="0" w:color="auto"/>
        <w:left w:val="none" w:sz="0" w:space="0" w:color="auto"/>
        <w:bottom w:val="none" w:sz="0" w:space="0" w:color="auto"/>
        <w:right w:val="none" w:sz="0" w:space="0" w:color="auto"/>
      </w:divBdr>
    </w:div>
    <w:div w:id="821198579">
      <w:bodyDiv w:val="1"/>
      <w:marLeft w:val="0"/>
      <w:marRight w:val="0"/>
      <w:marTop w:val="0"/>
      <w:marBottom w:val="0"/>
      <w:divBdr>
        <w:top w:val="none" w:sz="0" w:space="0" w:color="auto"/>
        <w:left w:val="none" w:sz="0" w:space="0" w:color="auto"/>
        <w:bottom w:val="none" w:sz="0" w:space="0" w:color="auto"/>
        <w:right w:val="none" w:sz="0" w:space="0" w:color="auto"/>
      </w:divBdr>
    </w:div>
    <w:div w:id="829294918">
      <w:bodyDiv w:val="1"/>
      <w:marLeft w:val="0"/>
      <w:marRight w:val="0"/>
      <w:marTop w:val="0"/>
      <w:marBottom w:val="0"/>
      <w:divBdr>
        <w:top w:val="none" w:sz="0" w:space="0" w:color="auto"/>
        <w:left w:val="none" w:sz="0" w:space="0" w:color="auto"/>
        <w:bottom w:val="none" w:sz="0" w:space="0" w:color="auto"/>
        <w:right w:val="none" w:sz="0" w:space="0" w:color="auto"/>
      </w:divBdr>
    </w:div>
    <w:div w:id="831412539">
      <w:bodyDiv w:val="1"/>
      <w:marLeft w:val="0"/>
      <w:marRight w:val="0"/>
      <w:marTop w:val="0"/>
      <w:marBottom w:val="0"/>
      <w:divBdr>
        <w:top w:val="none" w:sz="0" w:space="0" w:color="auto"/>
        <w:left w:val="none" w:sz="0" w:space="0" w:color="auto"/>
        <w:bottom w:val="none" w:sz="0" w:space="0" w:color="auto"/>
        <w:right w:val="none" w:sz="0" w:space="0" w:color="auto"/>
      </w:divBdr>
    </w:div>
    <w:div w:id="843865457">
      <w:bodyDiv w:val="1"/>
      <w:marLeft w:val="0"/>
      <w:marRight w:val="0"/>
      <w:marTop w:val="0"/>
      <w:marBottom w:val="0"/>
      <w:divBdr>
        <w:top w:val="none" w:sz="0" w:space="0" w:color="auto"/>
        <w:left w:val="none" w:sz="0" w:space="0" w:color="auto"/>
        <w:bottom w:val="none" w:sz="0" w:space="0" w:color="auto"/>
        <w:right w:val="none" w:sz="0" w:space="0" w:color="auto"/>
      </w:divBdr>
    </w:div>
    <w:div w:id="847258331">
      <w:bodyDiv w:val="1"/>
      <w:marLeft w:val="0"/>
      <w:marRight w:val="0"/>
      <w:marTop w:val="0"/>
      <w:marBottom w:val="0"/>
      <w:divBdr>
        <w:top w:val="none" w:sz="0" w:space="0" w:color="auto"/>
        <w:left w:val="none" w:sz="0" w:space="0" w:color="auto"/>
        <w:bottom w:val="none" w:sz="0" w:space="0" w:color="auto"/>
        <w:right w:val="none" w:sz="0" w:space="0" w:color="auto"/>
      </w:divBdr>
    </w:div>
    <w:div w:id="848182021">
      <w:bodyDiv w:val="1"/>
      <w:marLeft w:val="0"/>
      <w:marRight w:val="0"/>
      <w:marTop w:val="0"/>
      <w:marBottom w:val="0"/>
      <w:divBdr>
        <w:top w:val="none" w:sz="0" w:space="0" w:color="auto"/>
        <w:left w:val="none" w:sz="0" w:space="0" w:color="auto"/>
        <w:bottom w:val="none" w:sz="0" w:space="0" w:color="auto"/>
        <w:right w:val="none" w:sz="0" w:space="0" w:color="auto"/>
      </w:divBdr>
    </w:div>
    <w:div w:id="894968334">
      <w:bodyDiv w:val="1"/>
      <w:marLeft w:val="0"/>
      <w:marRight w:val="0"/>
      <w:marTop w:val="0"/>
      <w:marBottom w:val="0"/>
      <w:divBdr>
        <w:top w:val="none" w:sz="0" w:space="0" w:color="auto"/>
        <w:left w:val="none" w:sz="0" w:space="0" w:color="auto"/>
        <w:bottom w:val="none" w:sz="0" w:space="0" w:color="auto"/>
        <w:right w:val="none" w:sz="0" w:space="0" w:color="auto"/>
      </w:divBdr>
    </w:div>
    <w:div w:id="992762184">
      <w:bodyDiv w:val="1"/>
      <w:marLeft w:val="0"/>
      <w:marRight w:val="0"/>
      <w:marTop w:val="0"/>
      <w:marBottom w:val="0"/>
      <w:divBdr>
        <w:top w:val="none" w:sz="0" w:space="0" w:color="auto"/>
        <w:left w:val="none" w:sz="0" w:space="0" w:color="auto"/>
        <w:bottom w:val="none" w:sz="0" w:space="0" w:color="auto"/>
        <w:right w:val="none" w:sz="0" w:space="0" w:color="auto"/>
      </w:divBdr>
    </w:div>
    <w:div w:id="1030493488">
      <w:bodyDiv w:val="1"/>
      <w:marLeft w:val="0"/>
      <w:marRight w:val="0"/>
      <w:marTop w:val="0"/>
      <w:marBottom w:val="0"/>
      <w:divBdr>
        <w:top w:val="none" w:sz="0" w:space="0" w:color="auto"/>
        <w:left w:val="none" w:sz="0" w:space="0" w:color="auto"/>
        <w:bottom w:val="none" w:sz="0" w:space="0" w:color="auto"/>
        <w:right w:val="none" w:sz="0" w:space="0" w:color="auto"/>
      </w:divBdr>
    </w:div>
    <w:div w:id="1038896762">
      <w:bodyDiv w:val="1"/>
      <w:marLeft w:val="0"/>
      <w:marRight w:val="0"/>
      <w:marTop w:val="0"/>
      <w:marBottom w:val="0"/>
      <w:divBdr>
        <w:top w:val="none" w:sz="0" w:space="0" w:color="auto"/>
        <w:left w:val="none" w:sz="0" w:space="0" w:color="auto"/>
        <w:bottom w:val="none" w:sz="0" w:space="0" w:color="auto"/>
        <w:right w:val="none" w:sz="0" w:space="0" w:color="auto"/>
      </w:divBdr>
    </w:div>
    <w:div w:id="1039479499">
      <w:bodyDiv w:val="1"/>
      <w:marLeft w:val="0"/>
      <w:marRight w:val="0"/>
      <w:marTop w:val="0"/>
      <w:marBottom w:val="0"/>
      <w:divBdr>
        <w:top w:val="none" w:sz="0" w:space="0" w:color="auto"/>
        <w:left w:val="none" w:sz="0" w:space="0" w:color="auto"/>
        <w:bottom w:val="none" w:sz="0" w:space="0" w:color="auto"/>
        <w:right w:val="none" w:sz="0" w:space="0" w:color="auto"/>
      </w:divBdr>
    </w:div>
    <w:div w:id="1041438854">
      <w:bodyDiv w:val="1"/>
      <w:marLeft w:val="0"/>
      <w:marRight w:val="0"/>
      <w:marTop w:val="0"/>
      <w:marBottom w:val="0"/>
      <w:divBdr>
        <w:top w:val="none" w:sz="0" w:space="0" w:color="auto"/>
        <w:left w:val="none" w:sz="0" w:space="0" w:color="auto"/>
        <w:bottom w:val="none" w:sz="0" w:space="0" w:color="auto"/>
        <w:right w:val="none" w:sz="0" w:space="0" w:color="auto"/>
      </w:divBdr>
    </w:div>
    <w:div w:id="1054542196">
      <w:bodyDiv w:val="1"/>
      <w:marLeft w:val="0"/>
      <w:marRight w:val="0"/>
      <w:marTop w:val="0"/>
      <w:marBottom w:val="0"/>
      <w:divBdr>
        <w:top w:val="none" w:sz="0" w:space="0" w:color="auto"/>
        <w:left w:val="none" w:sz="0" w:space="0" w:color="auto"/>
        <w:bottom w:val="none" w:sz="0" w:space="0" w:color="auto"/>
        <w:right w:val="none" w:sz="0" w:space="0" w:color="auto"/>
      </w:divBdr>
    </w:div>
    <w:div w:id="1152017720">
      <w:bodyDiv w:val="1"/>
      <w:marLeft w:val="0"/>
      <w:marRight w:val="0"/>
      <w:marTop w:val="0"/>
      <w:marBottom w:val="0"/>
      <w:divBdr>
        <w:top w:val="none" w:sz="0" w:space="0" w:color="auto"/>
        <w:left w:val="none" w:sz="0" w:space="0" w:color="auto"/>
        <w:bottom w:val="none" w:sz="0" w:space="0" w:color="auto"/>
        <w:right w:val="none" w:sz="0" w:space="0" w:color="auto"/>
      </w:divBdr>
    </w:div>
    <w:div w:id="1179976012">
      <w:bodyDiv w:val="1"/>
      <w:marLeft w:val="0"/>
      <w:marRight w:val="0"/>
      <w:marTop w:val="0"/>
      <w:marBottom w:val="0"/>
      <w:divBdr>
        <w:top w:val="none" w:sz="0" w:space="0" w:color="auto"/>
        <w:left w:val="none" w:sz="0" w:space="0" w:color="auto"/>
        <w:bottom w:val="none" w:sz="0" w:space="0" w:color="auto"/>
        <w:right w:val="none" w:sz="0" w:space="0" w:color="auto"/>
      </w:divBdr>
    </w:div>
    <w:div w:id="1198549306">
      <w:bodyDiv w:val="1"/>
      <w:marLeft w:val="0"/>
      <w:marRight w:val="0"/>
      <w:marTop w:val="0"/>
      <w:marBottom w:val="0"/>
      <w:divBdr>
        <w:top w:val="none" w:sz="0" w:space="0" w:color="auto"/>
        <w:left w:val="none" w:sz="0" w:space="0" w:color="auto"/>
        <w:bottom w:val="none" w:sz="0" w:space="0" w:color="auto"/>
        <w:right w:val="none" w:sz="0" w:space="0" w:color="auto"/>
      </w:divBdr>
    </w:div>
    <w:div w:id="1254974508">
      <w:bodyDiv w:val="1"/>
      <w:marLeft w:val="0"/>
      <w:marRight w:val="0"/>
      <w:marTop w:val="0"/>
      <w:marBottom w:val="0"/>
      <w:divBdr>
        <w:top w:val="none" w:sz="0" w:space="0" w:color="auto"/>
        <w:left w:val="none" w:sz="0" w:space="0" w:color="auto"/>
        <w:bottom w:val="none" w:sz="0" w:space="0" w:color="auto"/>
        <w:right w:val="none" w:sz="0" w:space="0" w:color="auto"/>
      </w:divBdr>
    </w:div>
    <w:div w:id="1281064775">
      <w:bodyDiv w:val="1"/>
      <w:marLeft w:val="0"/>
      <w:marRight w:val="0"/>
      <w:marTop w:val="0"/>
      <w:marBottom w:val="0"/>
      <w:divBdr>
        <w:top w:val="none" w:sz="0" w:space="0" w:color="auto"/>
        <w:left w:val="none" w:sz="0" w:space="0" w:color="auto"/>
        <w:bottom w:val="none" w:sz="0" w:space="0" w:color="auto"/>
        <w:right w:val="none" w:sz="0" w:space="0" w:color="auto"/>
      </w:divBdr>
    </w:div>
    <w:div w:id="1339162685">
      <w:bodyDiv w:val="1"/>
      <w:marLeft w:val="0"/>
      <w:marRight w:val="0"/>
      <w:marTop w:val="0"/>
      <w:marBottom w:val="0"/>
      <w:divBdr>
        <w:top w:val="none" w:sz="0" w:space="0" w:color="auto"/>
        <w:left w:val="none" w:sz="0" w:space="0" w:color="auto"/>
        <w:bottom w:val="none" w:sz="0" w:space="0" w:color="auto"/>
        <w:right w:val="none" w:sz="0" w:space="0" w:color="auto"/>
      </w:divBdr>
    </w:div>
    <w:div w:id="1411346062">
      <w:bodyDiv w:val="1"/>
      <w:marLeft w:val="0"/>
      <w:marRight w:val="0"/>
      <w:marTop w:val="0"/>
      <w:marBottom w:val="0"/>
      <w:divBdr>
        <w:top w:val="none" w:sz="0" w:space="0" w:color="auto"/>
        <w:left w:val="none" w:sz="0" w:space="0" w:color="auto"/>
        <w:bottom w:val="none" w:sz="0" w:space="0" w:color="auto"/>
        <w:right w:val="none" w:sz="0" w:space="0" w:color="auto"/>
      </w:divBdr>
    </w:div>
    <w:div w:id="1424952747">
      <w:bodyDiv w:val="1"/>
      <w:marLeft w:val="0"/>
      <w:marRight w:val="0"/>
      <w:marTop w:val="0"/>
      <w:marBottom w:val="0"/>
      <w:divBdr>
        <w:top w:val="none" w:sz="0" w:space="0" w:color="auto"/>
        <w:left w:val="none" w:sz="0" w:space="0" w:color="auto"/>
        <w:bottom w:val="none" w:sz="0" w:space="0" w:color="auto"/>
        <w:right w:val="none" w:sz="0" w:space="0" w:color="auto"/>
      </w:divBdr>
    </w:div>
    <w:div w:id="1439330376">
      <w:bodyDiv w:val="1"/>
      <w:marLeft w:val="0"/>
      <w:marRight w:val="0"/>
      <w:marTop w:val="0"/>
      <w:marBottom w:val="0"/>
      <w:divBdr>
        <w:top w:val="none" w:sz="0" w:space="0" w:color="auto"/>
        <w:left w:val="none" w:sz="0" w:space="0" w:color="auto"/>
        <w:bottom w:val="none" w:sz="0" w:space="0" w:color="auto"/>
        <w:right w:val="none" w:sz="0" w:space="0" w:color="auto"/>
      </w:divBdr>
    </w:div>
    <w:div w:id="1464733333">
      <w:bodyDiv w:val="1"/>
      <w:marLeft w:val="0"/>
      <w:marRight w:val="0"/>
      <w:marTop w:val="0"/>
      <w:marBottom w:val="0"/>
      <w:divBdr>
        <w:top w:val="none" w:sz="0" w:space="0" w:color="auto"/>
        <w:left w:val="none" w:sz="0" w:space="0" w:color="auto"/>
        <w:bottom w:val="none" w:sz="0" w:space="0" w:color="auto"/>
        <w:right w:val="none" w:sz="0" w:space="0" w:color="auto"/>
      </w:divBdr>
    </w:div>
    <w:div w:id="1641157244">
      <w:bodyDiv w:val="1"/>
      <w:marLeft w:val="0"/>
      <w:marRight w:val="0"/>
      <w:marTop w:val="0"/>
      <w:marBottom w:val="0"/>
      <w:divBdr>
        <w:top w:val="none" w:sz="0" w:space="0" w:color="auto"/>
        <w:left w:val="none" w:sz="0" w:space="0" w:color="auto"/>
        <w:bottom w:val="none" w:sz="0" w:space="0" w:color="auto"/>
        <w:right w:val="none" w:sz="0" w:space="0" w:color="auto"/>
      </w:divBdr>
    </w:div>
    <w:div w:id="1695106474">
      <w:bodyDiv w:val="1"/>
      <w:marLeft w:val="0"/>
      <w:marRight w:val="0"/>
      <w:marTop w:val="0"/>
      <w:marBottom w:val="0"/>
      <w:divBdr>
        <w:top w:val="none" w:sz="0" w:space="0" w:color="auto"/>
        <w:left w:val="none" w:sz="0" w:space="0" w:color="auto"/>
        <w:bottom w:val="none" w:sz="0" w:space="0" w:color="auto"/>
        <w:right w:val="none" w:sz="0" w:space="0" w:color="auto"/>
      </w:divBdr>
    </w:div>
    <w:div w:id="1700666070">
      <w:bodyDiv w:val="1"/>
      <w:marLeft w:val="0"/>
      <w:marRight w:val="0"/>
      <w:marTop w:val="0"/>
      <w:marBottom w:val="0"/>
      <w:divBdr>
        <w:top w:val="none" w:sz="0" w:space="0" w:color="auto"/>
        <w:left w:val="none" w:sz="0" w:space="0" w:color="auto"/>
        <w:bottom w:val="none" w:sz="0" w:space="0" w:color="auto"/>
        <w:right w:val="none" w:sz="0" w:space="0" w:color="auto"/>
      </w:divBdr>
    </w:div>
    <w:div w:id="1716418870">
      <w:bodyDiv w:val="1"/>
      <w:marLeft w:val="0"/>
      <w:marRight w:val="0"/>
      <w:marTop w:val="0"/>
      <w:marBottom w:val="0"/>
      <w:divBdr>
        <w:top w:val="none" w:sz="0" w:space="0" w:color="auto"/>
        <w:left w:val="none" w:sz="0" w:space="0" w:color="auto"/>
        <w:bottom w:val="none" w:sz="0" w:space="0" w:color="auto"/>
        <w:right w:val="none" w:sz="0" w:space="0" w:color="auto"/>
      </w:divBdr>
    </w:div>
    <w:div w:id="1785266951">
      <w:bodyDiv w:val="1"/>
      <w:marLeft w:val="0"/>
      <w:marRight w:val="0"/>
      <w:marTop w:val="0"/>
      <w:marBottom w:val="0"/>
      <w:divBdr>
        <w:top w:val="none" w:sz="0" w:space="0" w:color="auto"/>
        <w:left w:val="none" w:sz="0" w:space="0" w:color="auto"/>
        <w:bottom w:val="none" w:sz="0" w:space="0" w:color="auto"/>
        <w:right w:val="none" w:sz="0" w:space="0" w:color="auto"/>
      </w:divBdr>
    </w:div>
    <w:div w:id="1900549859">
      <w:bodyDiv w:val="1"/>
      <w:marLeft w:val="0"/>
      <w:marRight w:val="0"/>
      <w:marTop w:val="0"/>
      <w:marBottom w:val="0"/>
      <w:divBdr>
        <w:top w:val="none" w:sz="0" w:space="0" w:color="auto"/>
        <w:left w:val="none" w:sz="0" w:space="0" w:color="auto"/>
        <w:bottom w:val="none" w:sz="0" w:space="0" w:color="auto"/>
        <w:right w:val="none" w:sz="0" w:space="0" w:color="auto"/>
      </w:divBdr>
    </w:div>
    <w:div w:id="1900701144">
      <w:bodyDiv w:val="1"/>
      <w:marLeft w:val="0"/>
      <w:marRight w:val="0"/>
      <w:marTop w:val="0"/>
      <w:marBottom w:val="0"/>
      <w:divBdr>
        <w:top w:val="none" w:sz="0" w:space="0" w:color="auto"/>
        <w:left w:val="none" w:sz="0" w:space="0" w:color="auto"/>
        <w:bottom w:val="none" w:sz="0" w:space="0" w:color="auto"/>
        <w:right w:val="none" w:sz="0" w:space="0" w:color="auto"/>
      </w:divBdr>
    </w:div>
    <w:div w:id="1931888014">
      <w:bodyDiv w:val="1"/>
      <w:marLeft w:val="0"/>
      <w:marRight w:val="0"/>
      <w:marTop w:val="0"/>
      <w:marBottom w:val="0"/>
      <w:divBdr>
        <w:top w:val="none" w:sz="0" w:space="0" w:color="auto"/>
        <w:left w:val="none" w:sz="0" w:space="0" w:color="auto"/>
        <w:bottom w:val="none" w:sz="0" w:space="0" w:color="auto"/>
        <w:right w:val="none" w:sz="0" w:space="0" w:color="auto"/>
      </w:divBdr>
    </w:div>
    <w:div w:id="1966623058">
      <w:bodyDiv w:val="1"/>
      <w:marLeft w:val="0"/>
      <w:marRight w:val="0"/>
      <w:marTop w:val="0"/>
      <w:marBottom w:val="0"/>
      <w:divBdr>
        <w:top w:val="none" w:sz="0" w:space="0" w:color="auto"/>
        <w:left w:val="none" w:sz="0" w:space="0" w:color="auto"/>
        <w:bottom w:val="none" w:sz="0" w:space="0" w:color="auto"/>
        <w:right w:val="none" w:sz="0" w:space="0" w:color="auto"/>
      </w:divBdr>
    </w:div>
    <w:div w:id="2028286178">
      <w:bodyDiv w:val="1"/>
      <w:marLeft w:val="0"/>
      <w:marRight w:val="0"/>
      <w:marTop w:val="0"/>
      <w:marBottom w:val="0"/>
      <w:divBdr>
        <w:top w:val="none" w:sz="0" w:space="0" w:color="auto"/>
        <w:left w:val="none" w:sz="0" w:space="0" w:color="auto"/>
        <w:bottom w:val="none" w:sz="0" w:space="0" w:color="auto"/>
        <w:right w:val="none" w:sz="0" w:space="0" w:color="auto"/>
      </w:divBdr>
    </w:div>
    <w:div w:id="2035226809">
      <w:bodyDiv w:val="1"/>
      <w:marLeft w:val="0"/>
      <w:marRight w:val="0"/>
      <w:marTop w:val="0"/>
      <w:marBottom w:val="0"/>
      <w:divBdr>
        <w:top w:val="none" w:sz="0" w:space="0" w:color="auto"/>
        <w:left w:val="none" w:sz="0" w:space="0" w:color="auto"/>
        <w:bottom w:val="none" w:sz="0" w:space="0" w:color="auto"/>
        <w:right w:val="none" w:sz="0" w:space="0" w:color="auto"/>
      </w:divBdr>
    </w:div>
    <w:div w:id="2075617739">
      <w:bodyDiv w:val="1"/>
      <w:marLeft w:val="0"/>
      <w:marRight w:val="0"/>
      <w:marTop w:val="0"/>
      <w:marBottom w:val="0"/>
      <w:divBdr>
        <w:top w:val="none" w:sz="0" w:space="0" w:color="auto"/>
        <w:left w:val="none" w:sz="0" w:space="0" w:color="auto"/>
        <w:bottom w:val="none" w:sz="0" w:space="0" w:color="auto"/>
        <w:right w:val="none" w:sz="0" w:space="0" w:color="auto"/>
      </w:divBdr>
    </w:div>
    <w:div w:id="2075926993">
      <w:bodyDiv w:val="1"/>
      <w:marLeft w:val="0"/>
      <w:marRight w:val="0"/>
      <w:marTop w:val="0"/>
      <w:marBottom w:val="0"/>
      <w:divBdr>
        <w:top w:val="none" w:sz="0" w:space="0" w:color="auto"/>
        <w:left w:val="none" w:sz="0" w:space="0" w:color="auto"/>
        <w:bottom w:val="none" w:sz="0" w:space="0" w:color="auto"/>
        <w:right w:val="none" w:sz="0" w:space="0" w:color="auto"/>
      </w:divBdr>
    </w:div>
    <w:div w:id="210121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jmarino@g.harvard.edu" TargetMode="External"/><Relationship Id="rId18" Type="http://schemas.openxmlformats.org/officeDocument/2006/relationships/hyperlink" Target="http://www.equality-of-opportunity.org/assets/documents/mto_exec_summary.pdf" TargetMode="External"/><Relationship Id="rId26" Type="http://schemas.openxmlformats.org/officeDocument/2006/relationships/hyperlink" Target="http://www.equality-of-opportunity.org/assets/documents/teachers_summary.pdf" TargetMode="External"/><Relationship Id="rId39" Type="http://schemas.openxmlformats.org/officeDocument/2006/relationships/hyperlink" Target="http://voxeu.org/article/long-term-consequences-1970-clean-air-act" TargetMode="External"/><Relationship Id="rId21" Type="http://schemas.openxmlformats.org/officeDocument/2006/relationships/hyperlink" Target="https://opportunityinsights.org/wp-content/uploads/2018/03/inventors_summary.pdf" TargetMode="External"/><Relationship Id="rId34" Type="http://schemas.openxmlformats.org/officeDocument/2006/relationships/hyperlink" Target="https://www.povertyactionlab.org/sites/default/files/publications/Insuring_the_Uninsured.pdf" TargetMode="External"/><Relationship Id="rId42" Type="http://schemas.openxmlformats.org/officeDocument/2006/relationships/hyperlink" Target="https://siteresources.worldbank.org/EXTPREMNET/Resources/489960-1338997241035/Growth_Commission_Working_Paper_10_Role_Institutions_Growth_Development.pdf" TargetMode="External"/><Relationship Id="rId47" Type="http://schemas.openxmlformats.org/officeDocument/2006/relationships/hyperlink" Target="https://canvas.harvard.edu/courses/19323" TargetMode="External"/><Relationship Id="rId50" Type="http://schemas.openxmlformats.org/officeDocument/2006/relationships/hyperlink" Target="http://www.ssc.wisc.edu/sscc/pubs/sfs/home.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etty@fas.harvard.edu" TargetMode="External"/><Relationship Id="rId17" Type="http://schemas.openxmlformats.org/officeDocument/2006/relationships/hyperlink" Target="http://www.equality-of-opportunity.org/assets/documents/Geography%20Executive%20Summary%20and%20Memo%20January%202014.pdf" TargetMode="External"/><Relationship Id="rId25" Type="http://schemas.openxmlformats.org/officeDocument/2006/relationships/hyperlink" Target="http://www.equality-of-opportunity.org/assets/documents/teachers_summary.pdf" TargetMode="External"/><Relationship Id="rId33" Type="http://schemas.openxmlformats.org/officeDocument/2006/relationships/hyperlink" Target="https://scholar.harvard.edu/files/hendren/files/executive_summary.pdf" TargetMode="External"/><Relationship Id="rId38" Type="http://schemas.openxmlformats.org/officeDocument/2006/relationships/hyperlink" Target="https://hbr.org/2016/12/a-guide-to-solving-social-problems-with-machine-learning" TargetMode="External"/><Relationship Id="rId46" Type="http://schemas.openxmlformats.org/officeDocument/2006/relationships/hyperlink" Target="http://downloads.fas.harvard.edu/download" TargetMode="External"/><Relationship Id="rId2" Type="http://schemas.openxmlformats.org/officeDocument/2006/relationships/numbering" Target="numbering.xml"/><Relationship Id="rId16" Type="http://schemas.openxmlformats.org/officeDocument/2006/relationships/hyperlink" Target="https://opportunityinsights.org/wp-content/uploads/2018/10/atlas_summary.pdf" TargetMode="External"/><Relationship Id="rId20" Type="http://schemas.openxmlformats.org/officeDocument/2006/relationships/hyperlink" Target="http://www.equality-of-opportunity.org/assets/documents/abs_mobility_summary.pdf" TargetMode="External"/><Relationship Id="rId29" Type="http://schemas.openxmlformats.org/officeDocument/2006/relationships/hyperlink" Target="https://healthinequality.org/documents/paper/healthineq_summary.pdf" TargetMode="External"/><Relationship Id="rId41" Type="http://schemas.openxmlformats.org/officeDocument/2006/relationships/hyperlink" Target="http://www.rajchetty.com/chettyfiles/crowdout_exec_summ.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quality-of-opportunity.org/assets/documents/star_summary.pdf" TargetMode="External"/><Relationship Id="rId32" Type="http://schemas.openxmlformats.org/officeDocument/2006/relationships/hyperlink" Target="https://www.povertyactionlab.org/sites/default/files/publications/Insuring_the_Uninsured.pdf" TargetMode="External"/><Relationship Id="rId37" Type="http://schemas.openxmlformats.org/officeDocument/2006/relationships/hyperlink" Target="https://hbr.org/2016/12/a-guide-to-solving-social-problems-with-machine-learning" TargetMode="External"/><Relationship Id="rId40" Type="http://schemas.openxmlformats.org/officeDocument/2006/relationships/hyperlink" Target="https://pubs.aeaweb.org/doi/pdfplus/10.1257/jep.25.4.165" TargetMode="External"/><Relationship Id="rId45" Type="http://schemas.openxmlformats.org/officeDocument/2006/relationships/hyperlink" Target="https://pubs.aeaweb.org/doi/pdfplus/10.1257/jep.31.2.87"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goo.gl/maps/qADw5W27rgw" TargetMode="External"/><Relationship Id="rId23" Type="http://schemas.openxmlformats.org/officeDocument/2006/relationships/hyperlink" Target="https://files.eric.ed.gov/fulltext/ED570869.pdf" TargetMode="External"/><Relationship Id="rId28" Type="http://schemas.openxmlformats.org/officeDocument/2006/relationships/hyperlink" Target="https://www.brookings.edu/wp-content/uploads/2018/03/es_20180314_looneyincarceration_final.pdf" TargetMode="External"/><Relationship Id="rId36" Type="http://schemas.openxmlformats.org/officeDocument/2006/relationships/hyperlink" Target="https://www-bcf.usc.edu/~gareth/ISL/" TargetMode="External"/><Relationship Id="rId49" Type="http://schemas.openxmlformats.org/officeDocument/2006/relationships/hyperlink" Target="https://blog.stata.com/" TargetMode="External"/><Relationship Id="rId10" Type="http://schemas.openxmlformats.org/officeDocument/2006/relationships/footer" Target="footer1.xml"/><Relationship Id="rId19" Type="http://schemas.openxmlformats.org/officeDocument/2006/relationships/hyperlink" Target="https://opportunityinsights.org/wp-content/uploads/2018/03/nbhds_exec_summary-1.pdf" TargetMode="External"/><Relationship Id="rId31" Type="http://schemas.openxmlformats.org/officeDocument/2006/relationships/hyperlink" Target="https://edhub.ama-assn.org/jn-learning/video-player/12647873" TargetMode="External"/><Relationship Id="rId44" Type="http://schemas.openxmlformats.org/officeDocument/2006/relationships/hyperlink" Target="https://pubs.aeaweb.org/doi/pdfplus/10.1257/jep.31.2.87"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bruich@fas.harvard.edu" TargetMode="External"/><Relationship Id="rId22" Type="http://schemas.openxmlformats.org/officeDocument/2006/relationships/hyperlink" Target="http://www.equality-of-opportunity.org/assets/documents/coll_mrc_summary.pdf" TargetMode="External"/><Relationship Id="rId27" Type="http://schemas.openxmlformats.org/officeDocument/2006/relationships/hyperlink" Target="https://opportunityinsights.org/wp-content/uploads/2018/04/race_summary.pdf" TargetMode="External"/><Relationship Id="rId30" Type="http://schemas.openxmlformats.org/officeDocument/2006/relationships/hyperlink" Target="https://hwcdn.libsyn.com/p/1/0/b/10bfaf40d2e34db3/Association_Between_Income_and_Life_Expectancy_in_the_United_States.mp3?c_id=11430498&amp;cs_id=11430498&amp;expiration=1552865705&amp;hwt=650831f8396989195188ed83cbf490be" TargetMode="External"/><Relationship Id="rId35" Type="http://schemas.openxmlformats.org/officeDocument/2006/relationships/hyperlink" Target="http://www.sciencemag.org/news/2016/09/can-predictive-policing-prevent-crime-it-happens" TargetMode="External"/><Relationship Id="rId43" Type="http://schemas.openxmlformats.org/officeDocument/2006/relationships/hyperlink" Target="http://books.google.com/books?hl=en&amp;lr=&amp;id=em3_AgAAQBAJ&amp;oi=fnd&amp;pg=PA1&amp;dq=info:Th0t9-sOxlcJ:scholar.google.com&amp;ots=u4SDrs5Y1S&amp;sig=0acXBeZWovKmV8Uhp0H0GLE0nwk" TargetMode="External"/><Relationship Id="rId48" Type="http://schemas.openxmlformats.org/officeDocument/2006/relationships/hyperlink" Target="http://www.stata.com/bookstore/base-reference-manual/"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F4DF-306D-434B-B79C-94D19215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cp:lastModifiedBy>
  <cp:revision>7</cp:revision>
  <cp:lastPrinted>2019-01-24T06:36:00Z</cp:lastPrinted>
  <dcterms:created xsi:type="dcterms:W3CDTF">2019-05-11T20:14:00Z</dcterms:created>
  <dcterms:modified xsi:type="dcterms:W3CDTF">2019-05-11T21:13:00Z</dcterms:modified>
</cp:coreProperties>
</file>