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3611" w14:textId="0088049B" w:rsidR="002B7780" w:rsidRPr="001E4A46" w:rsidRDefault="007C5462" w:rsidP="001E4A46">
      <w:pPr>
        <w:spacing w:line="240" w:lineRule="auto"/>
        <w:contextualSpacing/>
        <w:jc w:val="center"/>
        <w:rPr>
          <w:rFonts w:cstheme="minorHAnsi"/>
          <w:sz w:val="24"/>
          <w:szCs w:val="24"/>
          <w:u w:val="single"/>
        </w:rPr>
      </w:pPr>
      <w:r>
        <w:rPr>
          <w:rFonts w:cstheme="minorHAnsi"/>
          <w:sz w:val="24"/>
          <w:szCs w:val="24"/>
          <w:u w:val="single"/>
        </w:rPr>
        <w:t>Constructing the Opportunity Atlas: Methodology</w:t>
      </w:r>
    </w:p>
    <w:p w14:paraId="38EEF89B" w14:textId="77777777" w:rsidR="001E4A46" w:rsidRDefault="001E4A46" w:rsidP="00E50BD2">
      <w:pPr>
        <w:spacing w:line="240" w:lineRule="auto"/>
        <w:contextualSpacing/>
        <w:rPr>
          <w:rFonts w:cstheme="minorHAnsi"/>
          <w:b/>
          <w:sz w:val="24"/>
          <w:szCs w:val="24"/>
        </w:rPr>
      </w:pPr>
    </w:p>
    <w:p w14:paraId="2D5001FC" w14:textId="77777777" w:rsidR="009C2D24" w:rsidRPr="001E4A46" w:rsidRDefault="009C2D24" w:rsidP="001E4A46">
      <w:pPr>
        <w:spacing w:line="240" w:lineRule="auto"/>
        <w:contextualSpacing/>
        <w:rPr>
          <w:rFonts w:cstheme="minorHAnsi"/>
          <w:sz w:val="24"/>
          <w:szCs w:val="24"/>
        </w:rPr>
      </w:pPr>
    </w:p>
    <w:p w14:paraId="5C4219C5" w14:textId="247C2C79" w:rsidR="00E64D8E" w:rsidRDefault="007C5462" w:rsidP="001E4A46">
      <w:pPr>
        <w:spacing w:line="240" w:lineRule="auto"/>
        <w:contextualSpacing/>
        <w:rPr>
          <w:rFonts w:cstheme="minorHAnsi"/>
          <w:sz w:val="24"/>
          <w:szCs w:val="24"/>
        </w:rPr>
      </w:pPr>
      <w:r>
        <w:rPr>
          <w:rFonts w:cstheme="minorHAnsi"/>
          <w:sz w:val="24"/>
          <w:szCs w:val="24"/>
        </w:rPr>
        <w:t xml:space="preserve">The objective of the Opportunity Atlas is to measure the average outcomes (e.g., earnings) of children who grow up in each neighborhood in America, by demographic subgroup (race, gender, and parental income).  </w:t>
      </w:r>
      <w:r w:rsidR="00E64D8E" w:rsidRPr="001E4A46">
        <w:rPr>
          <w:rFonts w:cstheme="minorHAnsi"/>
          <w:sz w:val="24"/>
          <w:szCs w:val="24"/>
        </w:rPr>
        <w:t xml:space="preserve">We focus on </w:t>
      </w:r>
      <w:r>
        <w:rPr>
          <w:rFonts w:cstheme="minorHAnsi"/>
          <w:sz w:val="24"/>
          <w:szCs w:val="24"/>
        </w:rPr>
        <w:t>the</w:t>
      </w:r>
      <w:r w:rsidR="00E64D8E" w:rsidRPr="001E4A46">
        <w:rPr>
          <w:rFonts w:cstheme="minorHAnsi"/>
          <w:sz w:val="24"/>
          <w:szCs w:val="24"/>
        </w:rPr>
        <w:t xml:space="preserve"> neighborhoods </w:t>
      </w:r>
      <w:r>
        <w:rPr>
          <w:rFonts w:cstheme="minorHAnsi"/>
          <w:sz w:val="24"/>
          <w:szCs w:val="24"/>
        </w:rPr>
        <w:t xml:space="preserve">where people </w:t>
      </w:r>
      <w:r w:rsidRPr="007C5462">
        <w:rPr>
          <w:rFonts w:cstheme="minorHAnsi"/>
          <w:b/>
          <w:sz w:val="24"/>
          <w:szCs w:val="24"/>
        </w:rPr>
        <w:t>grew up</w:t>
      </w:r>
      <w:r>
        <w:rPr>
          <w:rFonts w:cstheme="minorHAnsi"/>
          <w:sz w:val="24"/>
          <w:szCs w:val="24"/>
        </w:rPr>
        <w:t xml:space="preserve"> rather than where they live as adults </w:t>
      </w:r>
      <w:r w:rsidR="00E64D8E" w:rsidRPr="001E4A46">
        <w:rPr>
          <w:rFonts w:cstheme="minorHAnsi"/>
          <w:sz w:val="24"/>
          <w:szCs w:val="24"/>
        </w:rPr>
        <w:t xml:space="preserve">because </w:t>
      </w:r>
      <w:hyperlink r:id="rId8" w:history="1">
        <w:r w:rsidR="00E64D8E" w:rsidRPr="007C5462">
          <w:rPr>
            <w:rStyle w:val="Hyperlink"/>
            <w:rFonts w:cstheme="minorHAnsi"/>
            <w:sz w:val="24"/>
            <w:szCs w:val="24"/>
          </w:rPr>
          <w:t>recent</w:t>
        </w:r>
      </w:hyperlink>
      <w:r w:rsidR="00E64D8E" w:rsidRPr="001E4A46">
        <w:rPr>
          <w:rFonts w:cstheme="minorHAnsi"/>
          <w:sz w:val="24"/>
          <w:szCs w:val="24"/>
        </w:rPr>
        <w:t xml:space="preserve"> </w:t>
      </w:r>
      <w:hyperlink r:id="rId9" w:history="1">
        <w:r w:rsidR="00E64D8E" w:rsidRPr="007C5462">
          <w:rPr>
            <w:rStyle w:val="Hyperlink"/>
            <w:rFonts w:cstheme="minorHAnsi"/>
            <w:sz w:val="24"/>
            <w:szCs w:val="24"/>
          </w:rPr>
          <w:t>studies</w:t>
        </w:r>
      </w:hyperlink>
      <w:r w:rsidR="00E64D8E" w:rsidRPr="001E4A46">
        <w:rPr>
          <w:rFonts w:cstheme="minorHAnsi"/>
          <w:sz w:val="24"/>
          <w:szCs w:val="24"/>
        </w:rPr>
        <w:t xml:space="preserve"> have established that the neighborhood in which a child grows up has substantial causal effects on his or her prospects of upward mobility</w:t>
      </w:r>
      <w:r>
        <w:rPr>
          <w:rFonts w:cstheme="minorHAnsi"/>
          <w:sz w:val="24"/>
          <w:szCs w:val="24"/>
        </w:rPr>
        <w:t>, whereas where one lives as an adult has smaller effects</w:t>
      </w:r>
      <w:r w:rsidR="00E64D8E" w:rsidRPr="001E4A46">
        <w:rPr>
          <w:rFonts w:cstheme="minorHAnsi"/>
          <w:sz w:val="24"/>
          <w:szCs w:val="24"/>
        </w:rPr>
        <w:t>.</w:t>
      </w:r>
    </w:p>
    <w:p w14:paraId="38729A4C" w14:textId="1F9639DE" w:rsidR="007C5462" w:rsidRDefault="007C5462" w:rsidP="001E4A46">
      <w:pPr>
        <w:spacing w:line="240" w:lineRule="auto"/>
        <w:contextualSpacing/>
        <w:rPr>
          <w:rFonts w:cstheme="minorHAnsi"/>
          <w:sz w:val="24"/>
          <w:szCs w:val="24"/>
        </w:rPr>
      </w:pPr>
    </w:p>
    <w:p w14:paraId="2770A687" w14:textId="428FF1EF" w:rsidR="00E4524B" w:rsidRPr="001E4A46" w:rsidRDefault="007C5462" w:rsidP="001E4A46">
      <w:pPr>
        <w:spacing w:line="240" w:lineRule="auto"/>
        <w:contextualSpacing/>
        <w:rPr>
          <w:rFonts w:cstheme="minorHAnsi"/>
          <w:sz w:val="24"/>
          <w:szCs w:val="24"/>
        </w:rPr>
      </w:pPr>
      <w:r>
        <w:rPr>
          <w:rFonts w:cstheme="minorHAnsi"/>
          <w:sz w:val="24"/>
          <w:szCs w:val="24"/>
        </w:rPr>
        <w:t>This document provides a summary of the methods we use to construct these estimates; for a more detailed and comprehensive description, see the</w:t>
      </w:r>
      <w:hyperlink r:id="rId10" w:history="1">
        <w:r w:rsidRPr="00043118">
          <w:rPr>
            <w:rStyle w:val="Hyperlink"/>
            <w:rFonts w:cstheme="minorHAnsi"/>
            <w:sz w:val="24"/>
            <w:szCs w:val="24"/>
          </w:rPr>
          <w:t xml:space="preserve"> full paper</w:t>
        </w:r>
      </w:hyperlink>
      <w:r>
        <w:rPr>
          <w:rFonts w:cstheme="minorHAnsi"/>
          <w:sz w:val="24"/>
          <w:szCs w:val="24"/>
        </w:rPr>
        <w:t>.</w:t>
      </w:r>
    </w:p>
    <w:p w14:paraId="66C3ACFA" w14:textId="203F274C" w:rsidR="005D0611" w:rsidRDefault="005D0611" w:rsidP="005D0611">
      <w:pPr>
        <w:spacing w:line="240" w:lineRule="auto"/>
        <w:contextualSpacing/>
        <w:rPr>
          <w:rFonts w:cstheme="minorHAnsi"/>
          <w:b/>
          <w:sz w:val="24"/>
          <w:szCs w:val="24"/>
        </w:rPr>
      </w:pPr>
    </w:p>
    <w:p w14:paraId="203417EF" w14:textId="2044C5B0" w:rsidR="002B66D4" w:rsidRPr="002B66D4" w:rsidRDefault="002B66D4" w:rsidP="005D0611">
      <w:pPr>
        <w:spacing w:line="240" w:lineRule="auto"/>
        <w:contextualSpacing/>
        <w:rPr>
          <w:rFonts w:cstheme="minorHAnsi"/>
          <w:sz w:val="24"/>
          <w:szCs w:val="24"/>
        </w:rPr>
      </w:pPr>
      <w:r w:rsidRPr="002B66D4">
        <w:rPr>
          <w:rFonts w:cstheme="minorHAnsi"/>
          <w:sz w:val="24"/>
          <w:szCs w:val="24"/>
        </w:rPr>
        <w:t>Data from the Opportunity Atlas is freely available for public us</w:t>
      </w:r>
      <w:r>
        <w:rPr>
          <w:rFonts w:cstheme="minorHAnsi"/>
          <w:sz w:val="24"/>
          <w:szCs w:val="24"/>
        </w:rPr>
        <w:t xml:space="preserve">e with attribution.  Citation: Chetty, R. Friedman, J. Hendren, N. Jones, M. Porter, S. </w:t>
      </w:r>
      <w:r>
        <w:rPr>
          <w:rFonts w:cstheme="minorHAnsi"/>
          <w:i/>
          <w:sz w:val="24"/>
          <w:szCs w:val="24"/>
        </w:rPr>
        <w:t xml:space="preserve">The Opportunity Atlas: Mapping the Childhood Roots of Social Mobility. </w:t>
      </w:r>
      <w:r>
        <w:rPr>
          <w:rFonts w:cstheme="minorHAnsi"/>
          <w:sz w:val="24"/>
          <w:szCs w:val="24"/>
        </w:rPr>
        <w:t>2018.</w:t>
      </w:r>
      <w:r w:rsidRPr="002B66D4">
        <w:rPr>
          <w:rFonts w:cstheme="minorHAnsi"/>
          <w:sz w:val="24"/>
          <w:szCs w:val="24"/>
        </w:rPr>
        <w:t xml:space="preserve"> NBER Working Paper No. 25147</w:t>
      </w:r>
      <w:r>
        <w:rPr>
          <w:rFonts w:cstheme="minorHAnsi"/>
          <w:sz w:val="24"/>
          <w:szCs w:val="24"/>
        </w:rPr>
        <w:t>.</w:t>
      </w:r>
      <w:bookmarkStart w:id="0" w:name="_GoBack"/>
      <w:bookmarkEnd w:id="0"/>
    </w:p>
    <w:p w14:paraId="50707B33" w14:textId="77777777" w:rsidR="002B66D4" w:rsidRDefault="002B66D4" w:rsidP="005D0611">
      <w:pPr>
        <w:spacing w:line="240" w:lineRule="auto"/>
        <w:contextualSpacing/>
        <w:rPr>
          <w:rFonts w:cstheme="minorHAnsi"/>
          <w:b/>
          <w:sz w:val="24"/>
          <w:szCs w:val="24"/>
        </w:rPr>
      </w:pPr>
    </w:p>
    <w:p w14:paraId="425DEBBF" w14:textId="77777777" w:rsidR="005D0611" w:rsidRPr="001E4A46" w:rsidRDefault="005D0611" w:rsidP="005D0611">
      <w:pPr>
        <w:spacing w:line="240" w:lineRule="auto"/>
        <w:contextualSpacing/>
        <w:rPr>
          <w:rFonts w:cstheme="minorHAnsi"/>
          <w:b/>
          <w:sz w:val="24"/>
          <w:szCs w:val="24"/>
        </w:rPr>
      </w:pPr>
      <w:r w:rsidRPr="001E4A46">
        <w:rPr>
          <w:rFonts w:cstheme="minorHAnsi"/>
          <w:b/>
          <w:sz w:val="24"/>
          <w:szCs w:val="24"/>
        </w:rPr>
        <w:t>Data Construction</w:t>
      </w:r>
    </w:p>
    <w:p w14:paraId="692D3669" w14:textId="51985D20" w:rsidR="0028227D" w:rsidRPr="001E4A46" w:rsidRDefault="0028227D" w:rsidP="0028227D">
      <w:pPr>
        <w:spacing w:line="240" w:lineRule="auto"/>
        <w:contextualSpacing/>
        <w:rPr>
          <w:rFonts w:cstheme="minorHAnsi"/>
          <w:sz w:val="24"/>
          <w:szCs w:val="24"/>
        </w:rPr>
      </w:pPr>
    </w:p>
    <w:p w14:paraId="0EFEF963" w14:textId="0F2E86A8" w:rsidR="00C070EE" w:rsidRPr="001E4A46" w:rsidRDefault="00143D7A" w:rsidP="001E4A46">
      <w:pPr>
        <w:spacing w:line="240" w:lineRule="auto"/>
        <w:rPr>
          <w:rFonts w:cstheme="minorHAnsi"/>
          <w:sz w:val="24"/>
          <w:szCs w:val="24"/>
        </w:rPr>
      </w:pPr>
      <w:r>
        <w:rPr>
          <w:rFonts w:cstheme="minorHAnsi"/>
          <w:sz w:val="24"/>
          <w:szCs w:val="24"/>
        </w:rPr>
        <w:t>W</w:t>
      </w:r>
      <w:r w:rsidR="00C070EE" w:rsidRPr="001E4A46">
        <w:rPr>
          <w:rFonts w:cstheme="minorHAnsi"/>
          <w:sz w:val="24"/>
          <w:szCs w:val="24"/>
        </w:rPr>
        <w:t xml:space="preserve">e combine three sources of </w:t>
      </w:r>
      <w:r>
        <w:rPr>
          <w:rFonts w:cstheme="minorHAnsi"/>
          <w:sz w:val="24"/>
          <w:szCs w:val="24"/>
        </w:rPr>
        <w:t xml:space="preserve">anonymized </w:t>
      </w:r>
      <w:r w:rsidR="00C070EE" w:rsidRPr="001E4A46">
        <w:rPr>
          <w:rFonts w:cstheme="minorHAnsi"/>
          <w:sz w:val="24"/>
          <w:szCs w:val="24"/>
        </w:rPr>
        <w:t>da</w:t>
      </w:r>
      <w:r w:rsidR="00776F81" w:rsidRPr="001E4A46">
        <w:rPr>
          <w:rFonts w:cstheme="minorHAnsi"/>
          <w:sz w:val="24"/>
          <w:szCs w:val="24"/>
        </w:rPr>
        <w:t xml:space="preserve">ta </w:t>
      </w:r>
      <w:r w:rsidR="005D0611">
        <w:rPr>
          <w:rFonts w:cstheme="minorHAnsi"/>
          <w:sz w:val="24"/>
          <w:szCs w:val="24"/>
        </w:rPr>
        <w:t xml:space="preserve">linked by and </w:t>
      </w:r>
      <w:r w:rsidR="00776F81" w:rsidRPr="001E4A46">
        <w:rPr>
          <w:rFonts w:cstheme="minorHAnsi"/>
          <w:sz w:val="24"/>
          <w:szCs w:val="24"/>
        </w:rPr>
        <w:t>housed at the Census Bureau:</w:t>
      </w:r>
    </w:p>
    <w:p w14:paraId="6081D092" w14:textId="380B830F" w:rsidR="0086610D" w:rsidRDefault="00C070EE" w:rsidP="0086610D">
      <w:pPr>
        <w:pStyle w:val="ListParagraph"/>
        <w:numPr>
          <w:ilvl w:val="0"/>
          <w:numId w:val="6"/>
        </w:numPr>
        <w:spacing w:line="240" w:lineRule="auto"/>
        <w:ind w:left="720"/>
        <w:rPr>
          <w:rFonts w:cstheme="minorHAnsi"/>
          <w:sz w:val="24"/>
          <w:szCs w:val="24"/>
        </w:rPr>
      </w:pPr>
      <w:r w:rsidRPr="001E4A46">
        <w:rPr>
          <w:rFonts w:cstheme="minorHAnsi"/>
          <w:sz w:val="24"/>
          <w:szCs w:val="24"/>
        </w:rPr>
        <w:t xml:space="preserve">The </w:t>
      </w:r>
      <w:r w:rsidR="001319B1">
        <w:rPr>
          <w:rFonts w:cstheme="minorHAnsi"/>
          <w:sz w:val="24"/>
          <w:szCs w:val="24"/>
        </w:rPr>
        <w:t xml:space="preserve">2000 and 2010 Decennial </w:t>
      </w:r>
      <w:r w:rsidRPr="001E4A46">
        <w:rPr>
          <w:rFonts w:cstheme="minorHAnsi"/>
          <w:sz w:val="24"/>
          <w:szCs w:val="24"/>
        </w:rPr>
        <w:t>Census</w:t>
      </w:r>
      <w:r w:rsidR="001319B1">
        <w:rPr>
          <w:rFonts w:cstheme="minorHAnsi"/>
          <w:sz w:val="24"/>
          <w:szCs w:val="24"/>
        </w:rPr>
        <w:t xml:space="preserve"> short form.</w:t>
      </w:r>
    </w:p>
    <w:p w14:paraId="6ED83DE3" w14:textId="77777777" w:rsidR="0086610D" w:rsidRDefault="0086610D" w:rsidP="0086610D">
      <w:pPr>
        <w:pStyle w:val="ListParagraph"/>
        <w:spacing w:line="240" w:lineRule="auto"/>
        <w:rPr>
          <w:rFonts w:cstheme="minorHAnsi"/>
          <w:sz w:val="24"/>
          <w:szCs w:val="24"/>
        </w:rPr>
      </w:pPr>
    </w:p>
    <w:p w14:paraId="38CC507E" w14:textId="64F820AF" w:rsidR="0086610D" w:rsidRPr="0086610D" w:rsidRDefault="00C070EE" w:rsidP="0086610D">
      <w:pPr>
        <w:pStyle w:val="ListParagraph"/>
        <w:numPr>
          <w:ilvl w:val="0"/>
          <w:numId w:val="6"/>
        </w:numPr>
        <w:spacing w:line="240" w:lineRule="auto"/>
        <w:ind w:left="720"/>
        <w:rPr>
          <w:rFonts w:cstheme="minorHAnsi"/>
          <w:sz w:val="24"/>
          <w:szCs w:val="24"/>
        </w:rPr>
      </w:pPr>
      <w:r w:rsidRPr="0086610D">
        <w:rPr>
          <w:rFonts w:cstheme="minorHAnsi"/>
          <w:sz w:val="24"/>
          <w:szCs w:val="24"/>
        </w:rPr>
        <w:t xml:space="preserve">Federal income tax returns </w:t>
      </w:r>
      <w:r w:rsidR="0086610D">
        <w:rPr>
          <w:rFonts w:cstheme="minorHAnsi"/>
          <w:sz w:val="24"/>
          <w:szCs w:val="24"/>
        </w:rPr>
        <w:t>for</w:t>
      </w:r>
      <w:r w:rsidRPr="0086610D">
        <w:rPr>
          <w:rFonts w:cstheme="minorHAnsi"/>
          <w:sz w:val="24"/>
          <w:szCs w:val="24"/>
        </w:rPr>
        <w:t xml:space="preserve"> 1989, 1994, 1995, and 1998-2015</w:t>
      </w:r>
      <w:r w:rsidR="00DF1046">
        <w:rPr>
          <w:rFonts w:cstheme="minorHAnsi"/>
          <w:sz w:val="24"/>
          <w:szCs w:val="24"/>
        </w:rPr>
        <w:t>.</w:t>
      </w:r>
    </w:p>
    <w:p w14:paraId="19DF3434" w14:textId="77777777" w:rsidR="0086610D" w:rsidRDefault="0086610D" w:rsidP="0086610D">
      <w:pPr>
        <w:pStyle w:val="ListParagraph"/>
        <w:spacing w:line="240" w:lineRule="auto"/>
        <w:rPr>
          <w:rFonts w:cstheme="minorHAnsi"/>
          <w:sz w:val="24"/>
          <w:szCs w:val="24"/>
        </w:rPr>
      </w:pPr>
    </w:p>
    <w:p w14:paraId="1E0BBE23" w14:textId="309DB491" w:rsidR="00C070EE" w:rsidRPr="00FF71DD" w:rsidRDefault="00C070EE" w:rsidP="00FF71DD">
      <w:pPr>
        <w:pStyle w:val="ListParagraph"/>
        <w:numPr>
          <w:ilvl w:val="0"/>
          <w:numId w:val="6"/>
        </w:numPr>
        <w:spacing w:line="240" w:lineRule="auto"/>
        <w:ind w:left="720"/>
        <w:rPr>
          <w:rFonts w:cstheme="minorHAnsi"/>
          <w:sz w:val="24"/>
          <w:szCs w:val="24"/>
        </w:rPr>
      </w:pPr>
      <w:r w:rsidRPr="005D62CB">
        <w:rPr>
          <w:rFonts w:cstheme="minorHAnsi"/>
          <w:sz w:val="24"/>
          <w:szCs w:val="24"/>
        </w:rPr>
        <w:t xml:space="preserve">The </w:t>
      </w:r>
      <w:r w:rsidR="001319B1">
        <w:rPr>
          <w:rFonts w:cstheme="minorHAnsi"/>
          <w:sz w:val="24"/>
          <w:szCs w:val="24"/>
        </w:rPr>
        <w:t xml:space="preserve">2000 Decennial </w:t>
      </w:r>
      <w:r w:rsidRPr="005D62CB">
        <w:rPr>
          <w:rFonts w:cstheme="minorHAnsi"/>
          <w:sz w:val="24"/>
          <w:szCs w:val="24"/>
        </w:rPr>
        <w:t xml:space="preserve">Census long form and the 2005-2015 American Community Surveys (ACS). </w:t>
      </w:r>
      <w:r w:rsidR="002B226F">
        <w:rPr>
          <w:rFonts w:cstheme="minorHAnsi"/>
          <w:sz w:val="24"/>
          <w:szCs w:val="24"/>
        </w:rPr>
        <w:t>T</w:t>
      </w:r>
      <w:r w:rsidRPr="005D62CB">
        <w:rPr>
          <w:rFonts w:cstheme="minorHAnsi"/>
          <w:sz w:val="24"/>
          <w:szCs w:val="24"/>
        </w:rPr>
        <w:t>he Census long form</w:t>
      </w:r>
      <w:r w:rsidR="003E29A2">
        <w:rPr>
          <w:rFonts w:cstheme="minorHAnsi"/>
          <w:sz w:val="24"/>
          <w:szCs w:val="24"/>
        </w:rPr>
        <w:t xml:space="preserve"> </w:t>
      </w:r>
      <w:r w:rsidR="002B226F">
        <w:rPr>
          <w:rFonts w:cstheme="minorHAnsi"/>
          <w:sz w:val="24"/>
          <w:szCs w:val="24"/>
        </w:rPr>
        <w:t xml:space="preserve">asks a longer list of questions to a randomly selected subset of the population (covering </w:t>
      </w:r>
      <w:r w:rsidRPr="00FF71DD">
        <w:rPr>
          <w:rFonts w:cstheme="minorHAnsi"/>
          <w:sz w:val="24"/>
          <w:szCs w:val="24"/>
        </w:rPr>
        <w:t>approximately one-sixth of households</w:t>
      </w:r>
      <w:r w:rsidR="002B226F">
        <w:rPr>
          <w:rFonts w:cstheme="minorHAnsi"/>
          <w:sz w:val="24"/>
          <w:szCs w:val="24"/>
        </w:rPr>
        <w:t>)</w:t>
      </w:r>
      <w:r w:rsidR="00143D7A">
        <w:rPr>
          <w:rFonts w:cstheme="minorHAnsi"/>
          <w:sz w:val="24"/>
          <w:szCs w:val="24"/>
        </w:rPr>
        <w:t>.</w:t>
      </w:r>
      <w:r w:rsidRPr="00FF71DD">
        <w:rPr>
          <w:rFonts w:cstheme="minorHAnsi"/>
          <w:sz w:val="24"/>
          <w:szCs w:val="24"/>
        </w:rPr>
        <w:t xml:space="preserve"> </w:t>
      </w:r>
      <w:r w:rsidR="00143D7A">
        <w:rPr>
          <w:rFonts w:cstheme="minorHAnsi"/>
          <w:sz w:val="24"/>
          <w:szCs w:val="24"/>
        </w:rPr>
        <w:t>T</w:t>
      </w:r>
      <w:r w:rsidR="00FF71DD">
        <w:rPr>
          <w:rFonts w:cstheme="minorHAnsi"/>
          <w:sz w:val="24"/>
          <w:szCs w:val="24"/>
        </w:rPr>
        <w:t xml:space="preserve">he American Community Survey </w:t>
      </w:r>
      <w:r w:rsidR="002B226F">
        <w:rPr>
          <w:rFonts w:cstheme="minorHAnsi"/>
          <w:sz w:val="24"/>
          <w:szCs w:val="24"/>
        </w:rPr>
        <w:t>asks a similar set of questions in each year 2005-2015 to a randomly selected subset of the population (approximately 1</w:t>
      </w:r>
      <w:r w:rsidR="00244A36">
        <w:rPr>
          <w:rFonts w:cstheme="minorHAnsi"/>
          <w:sz w:val="24"/>
          <w:szCs w:val="24"/>
        </w:rPr>
        <w:t>.5</w:t>
      </w:r>
      <w:r w:rsidR="002B226F">
        <w:rPr>
          <w:rFonts w:cstheme="minorHAnsi"/>
          <w:sz w:val="24"/>
          <w:szCs w:val="24"/>
        </w:rPr>
        <w:t xml:space="preserve">% of </w:t>
      </w:r>
      <w:r w:rsidR="00244A36">
        <w:rPr>
          <w:rFonts w:cstheme="minorHAnsi"/>
          <w:sz w:val="24"/>
          <w:szCs w:val="24"/>
        </w:rPr>
        <w:t xml:space="preserve">all </w:t>
      </w:r>
      <w:r w:rsidR="002B226F">
        <w:rPr>
          <w:rFonts w:cstheme="minorHAnsi"/>
          <w:sz w:val="24"/>
          <w:szCs w:val="24"/>
        </w:rPr>
        <w:t>household</w:t>
      </w:r>
      <w:r w:rsidR="00244A36">
        <w:rPr>
          <w:rFonts w:cstheme="minorHAnsi"/>
          <w:sz w:val="24"/>
          <w:szCs w:val="24"/>
        </w:rPr>
        <w:t>s</w:t>
      </w:r>
      <w:r w:rsidR="002B226F">
        <w:rPr>
          <w:rFonts w:cstheme="minorHAnsi"/>
          <w:sz w:val="24"/>
          <w:szCs w:val="24"/>
        </w:rPr>
        <w:t xml:space="preserve"> in each year, with a different subset each year)</w:t>
      </w:r>
      <w:r w:rsidR="00FF71DD">
        <w:rPr>
          <w:rFonts w:cstheme="minorHAnsi"/>
          <w:sz w:val="24"/>
          <w:szCs w:val="24"/>
        </w:rPr>
        <w:t>.</w:t>
      </w:r>
    </w:p>
    <w:p w14:paraId="071DB057" w14:textId="5D396386" w:rsidR="005D0611" w:rsidRDefault="005D0611" w:rsidP="00AA4A44">
      <w:pPr>
        <w:spacing w:line="240" w:lineRule="auto"/>
        <w:contextualSpacing/>
        <w:rPr>
          <w:rFonts w:cstheme="minorHAnsi"/>
          <w:sz w:val="24"/>
          <w:szCs w:val="24"/>
        </w:rPr>
      </w:pPr>
    </w:p>
    <w:p w14:paraId="481ABF45" w14:textId="6DCF3C83" w:rsidR="00143D7A" w:rsidRDefault="00143D7A" w:rsidP="00143D7A">
      <w:pPr>
        <w:spacing w:line="240" w:lineRule="auto"/>
        <w:contextualSpacing/>
        <w:rPr>
          <w:rFonts w:cstheme="minorHAnsi"/>
          <w:sz w:val="24"/>
          <w:szCs w:val="24"/>
        </w:rPr>
      </w:pPr>
      <w:r>
        <w:rPr>
          <w:rFonts w:cstheme="minorHAnsi"/>
          <w:sz w:val="24"/>
          <w:szCs w:val="24"/>
        </w:rPr>
        <w:t>Starting from these data, we construct an analysis sample of</w:t>
      </w:r>
      <w:r w:rsidRPr="001E4A46">
        <w:rPr>
          <w:rFonts w:cstheme="minorHAnsi"/>
          <w:sz w:val="24"/>
          <w:szCs w:val="24"/>
        </w:rPr>
        <w:t xml:space="preserve"> 20</w:t>
      </w:r>
      <w:r>
        <w:rPr>
          <w:rFonts w:cstheme="minorHAnsi"/>
          <w:sz w:val="24"/>
          <w:szCs w:val="24"/>
        </w:rPr>
        <w:t>.5</w:t>
      </w:r>
      <w:r w:rsidRPr="001E4A46">
        <w:rPr>
          <w:rFonts w:cstheme="minorHAnsi"/>
          <w:sz w:val="24"/>
          <w:szCs w:val="24"/>
        </w:rPr>
        <w:t xml:space="preserve"> million Americans </w:t>
      </w:r>
      <w:r>
        <w:rPr>
          <w:rFonts w:cstheme="minorHAnsi"/>
          <w:sz w:val="24"/>
          <w:szCs w:val="24"/>
        </w:rPr>
        <w:t xml:space="preserve">born between 1978-1983 </w:t>
      </w:r>
      <w:r w:rsidRPr="001E4A46">
        <w:rPr>
          <w:rFonts w:cstheme="minorHAnsi"/>
          <w:sz w:val="24"/>
          <w:szCs w:val="24"/>
        </w:rPr>
        <w:t>who are in their mid-thirties today. We map these individuals back to the Census tract</w:t>
      </w:r>
      <w:r>
        <w:rPr>
          <w:rFonts w:cstheme="minorHAnsi"/>
          <w:sz w:val="24"/>
          <w:szCs w:val="24"/>
        </w:rPr>
        <w:t>s</w:t>
      </w:r>
      <w:r w:rsidRPr="001E4A46">
        <w:rPr>
          <w:rFonts w:cstheme="minorHAnsi"/>
          <w:sz w:val="24"/>
          <w:szCs w:val="24"/>
        </w:rPr>
        <w:t xml:space="preserve"> (geographic units consisting of about 4,200 people on average) </w:t>
      </w:r>
      <w:r>
        <w:rPr>
          <w:rFonts w:cstheme="minorHAnsi"/>
          <w:sz w:val="24"/>
          <w:szCs w:val="24"/>
        </w:rPr>
        <w:t>that they lived in through age 23</w:t>
      </w:r>
      <w:r w:rsidRPr="001E4A46">
        <w:rPr>
          <w:rFonts w:cstheme="minorHAnsi"/>
          <w:sz w:val="24"/>
          <w:szCs w:val="24"/>
        </w:rPr>
        <w:t>. Then, for each of the 70,000 tracts in America, we estimate children’s outcomes a</w:t>
      </w:r>
      <w:r>
        <w:rPr>
          <w:rFonts w:cstheme="minorHAnsi"/>
          <w:sz w:val="24"/>
          <w:szCs w:val="24"/>
        </w:rPr>
        <w:t>cross a range of measures.</w:t>
      </w:r>
    </w:p>
    <w:p w14:paraId="7DABEFC8" w14:textId="77777777" w:rsidR="00143D7A" w:rsidRDefault="00143D7A" w:rsidP="00AA4A44">
      <w:pPr>
        <w:spacing w:line="240" w:lineRule="auto"/>
        <w:contextualSpacing/>
        <w:rPr>
          <w:rFonts w:cstheme="minorHAnsi"/>
          <w:sz w:val="24"/>
          <w:szCs w:val="24"/>
        </w:rPr>
      </w:pPr>
    </w:p>
    <w:p w14:paraId="0B2089CA" w14:textId="3EE6F9AE" w:rsidR="009142C2" w:rsidRPr="009142C2" w:rsidRDefault="00AA4A44" w:rsidP="009142C2">
      <w:pPr>
        <w:spacing w:line="240" w:lineRule="auto"/>
        <w:contextualSpacing/>
        <w:rPr>
          <w:rFonts w:cstheme="minorHAnsi"/>
          <w:sz w:val="24"/>
          <w:szCs w:val="24"/>
        </w:rPr>
      </w:pPr>
      <w:r>
        <w:rPr>
          <w:rFonts w:cstheme="minorHAnsi"/>
          <w:sz w:val="24"/>
          <w:szCs w:val="24"/>
        </w:rPr>
        <w:t>W</w:t>
      </w:r>
      <w:r w:rsidR="00335B45" w:rsidRPr="001E4A46">
        <w:rPr>
          <w:rFonts w:cstheme="minorHAnsi"/>
          <w:sz w:val="24"/>
          <w:szCs w:val="24"/>
        </w:rPr>
        <w:t xml:space="preserve">e measure parent and child income using their percentile ranks in </w:t>
      </w:r>
      <w:r>
        <w:rPr>
          <w:rFonts w:cstheme="minorHAnsi"/>
          <w:sz w:val="24"/>
          <w:szCs w:val="24"/>
        </w:rPr>
        <w:t>national income distribution</w:t>
      </w:r>
      <w:r w:rsidR="00EC27D3">
        <w:rPr>
          <w:rFonts w:cstheme="minorHAnsi"/>
          <w:sz w:val="24"/>
          <w:szCs w:val="24"/>
        </w:rPr>
        <w:t xml:space="preserve">. </w:t>
      </w:r>
      <w:r>
        <w:rPr>
          <w:rFonts w:cstheme="minorHAnsi"/>
          <w:sz w:val="24"/>
          <w:szCs w:val="24"/>
        </w:rPr>
        <w:t>For instance,</w:t>
      </w:r>
      <w:r w:rsidR="00143D7A">
        <w:rPr>
          <w:rFonts w:cstheme="minorHAnsi"/>
          <w:sz w:val="24"/>
          <w:szCs w:val="24"/>
        </w:rPr>
        <w:t xml:space="preserve"> consider a child born in 1980.</w:t>
      </w:r>
      <w:r>
        <w:rPr>
          <w:rFonts w:cstheme="minorHAnsi"/>
          <w:sz w:val="24"/>
          <w:szCs w:val="24"/>
        </w:rPr>
        <w:t xml:space="preserve"> That child’s income as an adult is ranked compared with the </w:t>
      </w:r>
      <w:r w:rsidR="0007056C">
        <w:rPr>
          <w:rFonts w:cstheme="minorHAnsi"/>
          <w:sz w:val="24"/>
          <w:szCs w:val="24"/>
        </w:rPr>
        <w:t>adult</w:t>
      </w:r>
      <w:r>
        <w:rPr>
          <w:rFonts w:cstheme="minorHAnsi"/>
          <w:sz w:val="24"/>
          <w:szCs w:val="24"/>
        </w:rPr>
        <w:t xml:space="preserve"> incomes of all other children in our sample who were born in 1980</w:t>
      </w:r>
      <w:r w:rsidR="00306CB1">
        <w:rPr>
          <w:rFonts w:cstheme="minorHAnsi"/>
          <w:sz w:val="24"/>
          <w:szCs w:val="24"/>
        </w:rPr>
        <w:t>, and the child’s parents’</w:t>
      </w:r>
      <w:r>
        <w:rPr>
          <w:rFonts w:cstheme="minorHAnsi"/>
          <w:sz w:val="24"/>
          <w:szCs w:val="24"/>
        </w:rPr>
        <w:t xml:space="preserve"> income is ranked compared with the incomes of all other parents of children in our sample who were born in 1980.</w:t>
      </w:r>
      <w:r w:rsidR="00335B45" w:rsidRPr="001E4A46">
        <w:rPr>
          <w:rFonts w:cstheme="minorHAnsi"/>
          <w:sz w:val="24"/>
          <w:szCs w:val="24"/>
        </w:rPr>
        <w:t xml:space="preserve"> </w:t>
      </w:r>
      <w:r>
        <w:rPr>
          <w:rFonts w:cstheme="minorHAnsi"/>
          <w:sz w:val="24"/>
          <w:szCs w:val="24"/>
        </w:rPr>
        <w:t xml:space="preserve"> We use percentile ranks </w:t>
      </w:r>
      <w:r w:rsidR="00335B45" w:rsidRPr="001E4A46">
        <w:rPr>
          <w:rFonts w:cstheme="minorHAnsi"/>
          <w:sz w:val="24"/>
          <w:szCs w:val="24"/>
        </w:rPr>
        <w:t>ra</w:t>
      </w:r>
      <w:r>
        <w:rPr>
          <w:rFonts w:cstheme="minorHAnsi"/>
          <w:sz w:val="24"/>
          <w:szCs w:val="24"/>
        </w:rPr>
        <w:t xml:space="preserve">ther than actual </w:t>
      </w:r>
      <w:r>
        <w:rPr>
          <w:rFonts w:cstheme="minorHAnsi"/>
          <w:sz w:val="24"/>
          <w:szCs w:val="24"/>
        </w:rPr>
        <w:lastRenderedPageBreak/>
        <w:t>dollar amounts because they</w:t>
      </w:r>
      <w:r w:rsidR="00263367">
        <w:rPr>
          <w:rFonts w:cstheme="minorHAnsi"/>
          <w:sz w:val="24"/>
          <w:szCs w:val="24"/>
        </w:rPr>
        <w:t xml:space="preserve"> yield </w:t>
      </w:r>
      <w:r w:rsidR="00335B45" w:rsidRPr="001E4A46">
        <w:rPr>
          <w:rFonts w:cstheme="minorHAnsi"/>
          <w:sz w:val="24"/>
          <w:szCs w:val="24"/>
        </w:rPr>
        <w:t>more precise</w:t>
      </w:r>
      <w:r w:rsidR="00143D7A">
        <w:rPr>
          <w:rFonts w:cstheme="minorHAnsi"/>
          <w:sz w:val="24"/>
          <w:szCs w:val="24"/>
        </w:rPr>
        <w:t>, stable</w:t>
      </w:r>
      <w:r w:rsidR="00335B45" w:rsidRPr="001E4A46">
        <w:rPr>
          <w:rFonts w:cstheme="minorHAnsi"/>
          <w:sz w:val="24"/>
          <w:szCs w:val="24"/>
        </w:rPr>
        <w:t xml:space="preserve"> estimates</w:t>
      </w:r>
      <w:r w:rsidR="00143D7A">
        <w:rPr>
          <w:rFonts w:cstheme="minorHAnsi"/>
          <w:sz w:val="24"/>
          <w:szCs w:val="24"/>
        </w:rPr>
        <w:t xml:space="preserve"> (</w:t>
      </w:r>
      <w:hyperlink r:id="rId11" w:history="1">
        <w:r w:rsidR="00143D7A" w:rsidRPr="00481B55">
          <w:rPr>
            <w:rStyle w:val="Hyperlink"/>
            <w:rFonts w:cstheme="minorHAnsi"/>
            <w:sz w:val="24"/>
            <w:szCs w:val="24"/>
          </w:rPr>
          <w:t>Chetty, Hendr</w:t>
        </w:r>
        <w:r w:rsidR="00481B55" w:rsidRPr="00481B55">
          <w:rPr>
            <w:rStyle w:val="Hyperlink"/>
            <w:rFonts w:cstheme="minorHAnsi"/>
            <w:sz w:val="24"/>
            <w:szCs w:val="24"/>
          </w:rPr>
          <w:t>en, Kline, and Saez 2014</w:t>
        </w:r>
      </w:hyperlink>
      <w:r w:rsidR="00481B55">
        <w:rPr>
          <w:rFonts w:cstheme="minorHAnsi"/>
          <w:sz w:val="24"/>
          <w:szCs w:val="24"/>
        </w:rPr>
        <w:t xml:space="preserve">). </w:t>
      </w:r>
      <w:r w:rsidR="00481B55" w:rsidRPr="009142C2">
        <w:rPr>
          <w:rFonts w:cstheme="minorHAnsi"/>
          <w:sz w:val="24"/>
          <w:szCs w:val="24"/>
        </w:rPr>
        <w:t xml:space="preserve"> </w:t>
      </w:r>
    </w:p>
    <w:p w14:paraId="3079D0EF" w14:textId="3DF56B42" w:rsidR="00335B45" w:rsidRPr="001E4A46" w:rsidRDefault="00335B45" w:rsidP="00AA4A44">
      <w:pPr>
        <w:spacing w:line="240" w:lineRule="auto"/>
        <w:contextualSpacing/>
        <w:rPr>
          <w:rFonts w:cstheme="minorHAnsi"/>
          <w:sz w:val="24"/>
          <w:szCs w:val="24"/>
        </w:rPr>
      </w:pPr>
    </w:p>
    <w:p w14:paraId="7A9275C3" w14:textId="72190EFA" w:rsidR="00BB336E" w:rsidRPr="001E4A46" w:rsidRDefault="00BB336E" w:rsidP="001E4A46">
      <w:pPr>
        <w:spacing w:line="240" w:lineRule="auto"/>
        <w:contextualSpacing/>
        <w:rPr>
          <w:rFonts w:cstheme="minorHAnsi"/>
          <w:sz w:val="24"/>
          <w:szCs w:val="24"/>
        </w:rPr>
      </w:pPr>
    </w:p>
    <w:p w14:paraId="6EF389EB" w14:textId="77777777" w:rsidR="007733B4" w:rsidRDefault="007733B4" w:rsidP="001E4A46">
      <w:pPr>
        <w:spacing w:line="240" w:lineRule="auto"/>
        <w:contextualSpacing/>
        <w:rPr>
          <w:rFonts w:cstheme="minorHAnsi"/>
          <w:b/>
          <w:sz w:val="24"/>
          <w:szCs w:val="24"/>
        </w:rPr>
      </w:pPr>
    </w:p>
    <w:p w14:paraId="7655237E" w14:textId="360B6A23" w:rsidR="00BB336E" w:rsidRDefault="00BB336E" w:rsidP="001E4A46">
      <w:pPr>
        <w:spacing w:line="240" w:lineRule="auto"/>
        <w:contextualSpacing/>
        <w:rPr>
          <w:rFonts w:cstheme="minorHAnsi"/>
          <w:b/>
          <w:sz w:val="24"/>
          <w:szCs w:val="24"/>
        </w:rPr>
      </w:pPr>
      <w:r w:rsidRPr="001E4A46">
        <w:rPr>
          <w:rFonts w:cstheme="minorHAnsi"/>
          <w:b/>
          <w:sz w:val="24"/>
          <w:szCs w:val="24"/>
        </w:rPr>
        <w:t xml:space="preserve">Statistical </w:t>
      </w:r>
      <w:r w:rsidR="005D0611">
        <w:rPr>
          <w:rFonts w:cstheme="minorHAnsi"/>
          <w:b/>
          <w:sz w:val="24"/>
          <w:szCs w:val="24"/>
        </w:rPr>
        <w:t>Methods</w:t>
      </w:r>
    </w:p>
    <w:p w14:paraId="675FC34C" w14:textId="77777777" w:rsidR="00B0446E" w:rsidRPr="001E4A46" w:rsidRDefault="00B0446E" w:rsidP="001E4A46">
      <w:pPr>
        <w:spacing w:line="240" w:lineRule="auto"/>
        <w:contextualSpacing/>
        <w:rPr>
          <w:rFonts w:cstheme="minorHAnsi"/>
          <w:b/>
          <w:sz w:val="24"/>
          <w:szCs w:val="24"/>
        </w:rPr>
      </w:pPr>
    </w:p>
    <w:p w14:paraId="3744F892" w14:textId="7C7B7095" w:rsidR="00EA5699" w:rsidRPr="001E4A46" w:rsidRDefault="00AA4A44" w:rsidP="001E4A46">
      <w:pPr>
        <w:spacing w:line="240" w:lineRule="auto"/>
        <w:contextualSpacing/>
        <w:rPr>
          <w:rFonts w:cstheme="minorHAnsi"/>
          <w:sz w:val="24"/>
          <w:szCs w:val="24"/>
        </w:rPr>
      </w:pPr>
      <w:r>
        <w:rPr>
          <w:rFonts w:cstheme="minorHAnsi"/>
          <w:sz w:val="24"/>
          <w:szCs w:val="24"/>
        </w:rPr>
        <w:t>O</w:t>
      </w:r>
      <w:r w:rsidR="00A56479" w:rsidRPr="001E4A46">
        <w:rPr>
          <w:rFonts w:cstheme="minorHAnsi"/>
          <w:sz w:val="24"/>
          <w:szCs w:val="24"/>
        </w:rPr>
        <w:t>ur goal is to estimate average outcomes</w:t>
      </w:r>
      <w:r w:rsidR="00143D7A">
        <w:rPr>
          <w:rFonts w:cstheme="minorHAnsi"/>
          <w:sz w:val="24"/>
          <w:szCs w:val="24"/>
        </w:rPr>
        <w:t xml:space="preserve"> (such as earnings or incarceration rates)</w:t>
      </w:r>
      <w:r w:rsidR="00A56479" w:rsidRPr="001E4A46">
        <w:rPr>
          <w:rFonts w:cstheme="minorHAnsi"/>
          <w:sz w:val="24"/>
          <w:szCs w:val="24"/>
        </w:rPr>
        <w:t xml:space="preserve"> for each </w:t>
      </w:r>
      <w:r>
        <w:rPr>
          <w:rFonts w:cstheme="minorHAnsi"/>
          <w:sz w:val="24"/>
          <w:szCs w:val="24"/>
        </w:rPr>
        <w:t xml:space="preserve">demographic group in each </w:t>
      </w:r>
      <w:r w:rsidR="00A56479" w:rsidRPr="001E4A46">
        <w:rPr>
          <w:rFonts w:cstheme="minorHAnsi"/>
          <w:sz w:val="24"/>
          <w:szCs w:val="24"/>
        </w:rPr>
        <w:t xml:space="preserve">Census tract in the United States. </w:t>
      </w:r>
      <w:r w:rsidR="00512C3A" w:rsidRPr="001E4A46">
        <w:rPr>
          <w:rFonts w:cstheme="minorHAnsi"/>
          <w:sz w:val="24"/>
          <w:szCs w:val="24"/>
        </w:rPr>
        <w:t>We face two primary challenges</w:t>
      </w:r>
      <w:r w:rsidR="00143D7A">
        <w:rPr>
          <w:rFonts w:cstheme="minorHAnsi"/>
          <w:sz w:val="24"/>
          <w:szCs w:val="24"/>
        </w:rPr>
        <w:t xml:space="preserve"> in constructing these</w:t>
      </w:r>
      <w:r w:rsidR="00EA5699" w:rsidRPr="001E4A46">
        <w:rPr>
          <w:rFonts w:cstheme="minorHAnsi"/>
          <w:sz w:val="24"/>
          <w:szCs w:val="24"/>
        </w:rPr>
        <w:t xml:space="preserve"> estimates</w:t>
      </w:r>
      <w:r w:rsidR="009142C2">
        <w:rPr>
          <w:rFonts w:cstheme="minorHAnsi"/>
          <w:sz w:val="24"/>
          <w:szCs w:val="24"/>
        </w:rPr>
        <w:t>, which we overcome using standard statistical models</w:t>
      </w:r>
      <w:r w:rsidR="00EA5699" w:rsidRPr="001E4A46">
        <w:rPr>
          <w:rFonts w:cstheme="minorHAnsi"/>
          <w:sz w:val="24"/>
          <w:szCs w:val="24"/>
        </w:rPr>
        <w:t>.</w:t>
      </w:r>
    </w:p>
    <w:p w14:paraId="677F6D15" w14:textId="18D7419D" w:rsidR="002D5F93" w:rsidRPr="002D5F93" w:rsidRDefault="002D5F93" w:rsidP="002D5F93">
      <w:pPr>
        <w:pStyle w:val="ListParagraph"/>
        <w:numPr>
          <w:ilvl w:val="0"/>
          <w:numId w:val="9"/>
        </w:numPr>
        <w:rPr>
          <w:rFonts w:cstheme="minorHAnsi"/>
          <w:sz w:val="24"/>
          <w:szCs w:val="24"/>
        </w:rPr>
      </w:pPr>
      <w:r w:rsidRPr="002D5F93">
        <w:rPr>
          <w:rFonts w:cstheme="minorHAnsi"/>
          <w:sz w:val="24"/>
          <w:szCs w:val="24"/>
        </w:rPr>
        <w:t xml:space="preserve">The first is a </w:t>
      </w:r>
      <w:r w:rsidRPr="002D5F93">
        <w:rPr>
          <w:rFonts w:cstheme="minorHAnsi"/>
          <w:sz w:val="24"/>
          <w:szCs w:val="24"/>
          <w:u w:val="single"/>
        </w:rPr>
        <w:t>data limitation</w:t>
      </w:r>
      <w:r w:rsidRPr="002D5F93">
        <w:rPr>
          <w:rFonts w:cstheme="minorHAnsi"/>
          <w:sz w:val="24"/>
          <w:szCs w:val="24"/>
        </w:rPr>
        <w:t xml:space="preserve">: because </w:t>
      </w:r>
      <w:r w:rsidR="00203B61">
        <w:rPr>
          <w:rFonts w:cstheme="minorHAnsi"/>
          <w:sz w:val="24"/>
          <w:szCs w:val="24"/>
        </w:rPr>
        <w:t>each</w:t>
      </w:r>
      <w:r w:rsidRPr="002D5F93">
        <w:rPr>
          <w:rFonts w:cstheme="minorHAnsi"/>
          <w:sz w:val="24"/>
          <w:szCs w:val="24"/>
        </w:rPr>
        <w:t xml:space="preserve"> subgroup and income level is not represented in each Census tract, it is not possible to simply calculate average outcomes for each tract by children’s race, gender, and parental income rank. </w:t>
      </w:r>
    </w:p>
    <w:p w14:paraId="5AB8AF0B" w14:textId="2D6BF8D9" w:rsidR="000E0499" w:rsidRPr="00203B61" w:rsidRDefault="00AA4A44" w:rsidP="00203B61">
      <w:pPr>
        <w:spacing w:line="240" w:lineRule="auto"/>
        <w:ind w:left="360"/>
        <w:rPr>
          <w:rFonts w:cstheme="minorHAnsi"/>
          <w:sz w:val="24"/>
          <w:szCs w:val="24"/>
        </w:rPr>
      </w:pPr>
      <w:r w:rsidRPr="00203B61">
        <w:rPr>
          <w:rFonts w:cstheme="minorHAnsi"/>
          <w:sz w:val="24"/>
          <w:szCs w:val="24"/>
        </w:rPr>
        <w:t xml:space="preserve">We address this issue with a statistical </w:t>
      </w:r>
      <w:r w:rsidR="009142C2">
        <w:rPr>
          <w:rFonts w:cstheme="minorHAnsi"/>
          <w:sz w:val="24"/>
          <w:szCs w:val="24"/>
        </w:rPr>
        <w:t xml:space="preserve">(regression) </w:t>
      </w:r>
      <w:r w:rsidRPr="00203B61">
        <w:rPr>
          <w:rFonts w:cstheme="minorHAnsi"/>
          <w:sz w:val="24"/>
          <w:szCs w:val="24"/>
        </w:rPr>
        <w:t xml:space="preserve">model that </w:t>
      </w:r>
      <w:r w:rsidR="00306CB1" w:rsidRPr="00203B61">
        <w:rPr>
          <w:rFonts w:cstheme="minorHAnsi"/>
          <w:sz w:val="24"/>
          <w:szCs w:val="24"/>
        </w:rPr>
        <w:t xml:space="preserve">first </w:t>
      </w:r>
      <w:r w:rsidRPr="00203B61">
        <w:rPr>
          <w:rFonts w:cstheme="minorHAnsi"/>
          <w:sz w:val="24"/>
          <w:szCs w:val="24"/>
        </w:rPr>
        <w:t xml:space="preserve">estimates the </w:t>
      </w:r>
      <w:r w:rsidR="00306CB1" w:rsidRPr="00203B61">
        <w:rPr>
          <w:rFonts w:cstheme="minorHAnsi"/>
          <w:sz w:val="24"/>
          <w:szCs w:val="24"/>
        </w:rPr>
        <w:t>general</w:t>
      </w:r>
      <w:r w:rsidR="00770583" w:rsidRPr="00203B61">
        <w:rPr>
          <w:rFonts w:cstheme="minorHAnsi"/>
          <w:sz w:val="24"/>
          <w:szCs w:val="24"/>
        </w:rPr>
        <w:t xml:space="preserve"> </w:t>
      </w:r>
      <w:r w:rsidRPr="00203B61">
        <w:rPr>
          <w:rFonts w:cstheme="minorHAnsi"/>
          <w:sz w:val="24"/>
          <w:szCs w:val="24"/>
        </w:rPr>
        <w:t>relationship between parental income and children’</w:t>
      </w:r>
      <w:r w:rsidR="00770583" w:rsidRPr="00203B61">
        <w:rPr>
          <w:rFonts w:cstheme="minorHAnsi"/>
          <w:sz w:val="24"/>
          <w:szCs w:val="24"/>
        </w:rPr>
        <w:t xml:space="preserve">s outcomes in each tract and then </w:t>
      </w:r>
      <w:r w:rsidR="00306CB1" w:rsidRPr="00203B61">
        <w:rPr>
          <w:rFonts w:cstheme="minorHAnsi"/>
          <w:sz w:val="24"/>
          <w:szCs w:val="24"/>
        </w:rPr>
        <w:t>uses this relationship to predict</w:t>
      </w:r>
      <w:r w:rsidR="00770583" w:rsidRPr="00203B61">
        <w:rPr>
          <w:rFonts w:cstheme="minorHAnsi"/>
          <w:sz w:val="24"/>
          <w:szCs w:val="24"/>
        </w:rPr>
        <w:t xml:space="preserve"> </w:t>
      </w:r>
      <w:r w:rsidR="00306CB1" w:rsidRPr="00203B61">
        <w:rPr>
          <w:rFonts w:cstheme="minorHAnsi"/>
          <w:sz w:val="24"/>
          <w:szCs w:val="24"/>
        </w:rPr>
        <w:t>the outcomes of children for all parental income percentiles</w:t>
      </w:r>
      <w:r w:rsidR="00770583" w:rsidRPr="00203B61">
        <w:rPr>
          <w:rFonts w:cstheme="minorHAnsi"/>
          <w:sz w:val="24"/>
          <w:szCs w:val="24"/>
        </w:rPr>
        <w:t xml:space="preserve">.  We use national data </w:t>
      </w:r>
      <w:r w:rsidR="000E0499" w:rsidRPr="00203B61">
        <w:rPr>
          <w:rFonts w:cstheme="minorHAnsi"/>
          <w:sz w:val="24"/>
          <w:szCs w:val="24"/>
        </w:rPr>
        <w:t>to help</w:t>
      </w:r>
      <w:r w:rsidR="00770583" w:rsidRPr="00203B61">
        <w:rPr>
          <w:rFonts w:cstheme="minorHAnsi"/>
          <w:sz w:val="24"/>
          <w:szCs w:val="24"/>
        </w:rPr>
        <w:t xml:space="preserve"> estimate</w:t>
      </w:r>
      <w:r w:rsidR="000E0499" w:rsidRPr="00203B61">
        <w:rPr>
          <w:rFonts w:cstheme="minorHAnsi"/>
          <w:sz w:val="24"/>
          <w:szCs w:val="24"/>
        </w:rPr>
        <w:t xml:space="preserve"> the shape of this relationship. </w:t>
      </w:r>
      <w:r w:rsidR="00770583" w:rsidRPr="00203B61">
        <w:rPr>
          <w:rFonts w:cstheme="minorHAnsi"/>
          <w:sz w:val="24"/>
          <w:szCs w:val="24"/>
        </w:rPr>
        <w:br/>
      </w:r>
      <w:r w:rsidR="00770583" w:rsidRPr="00203B61">
        <w:rPr>
          <w:rFonts w:cstheme="minorHAnsi"/>
          <w:sz w:val="24"/>
          <w:szCs w:val="24"/>
        </w:rPr>
        <w:br/>
      </w:r>
      <w:r w:rsidRPr="00203B61">
        <w:rPr>
          <w:rFonts w:cstheme="minorHAnsi"/>
          <w:sz w:val="24"/>
          <w:szCs w:val="24"/>
        </w:rPr>
        <w:t>To illustrate</w:t>
      </w:r>
      <w:r w:rsidR="00770583" w:rsidRPr="00203B61">
        <w:rPr>
          <w:rFonts w:cstheme="minorHAnsi"/>
          <w:sz w:val="24"/>
          <w:szCs w:val="24"/>
        </w:rPr>
        <w:t xml:space="preserve"> how our model works</w:t>
      </w:r>
      <w:r w:rsidRPr="00203B61">
        <w:rPr>
          <w:rFonts w:cstheme="minorHAnsi"/>
          <w:sz w:val="24"/>
          <w:szCs w:val="24"/>
        </w:rPr>
        <w:t>, suppose that a given Census tract does not contain any parents at the 25</w:t>
      </w:r>
      <w:r w:rsidRPr="00203B61">
        <w:rPr>
          <w:rFonts w:cstheme="minorHAnsi"/>
          <w:sz w:val="24"/>
          <w:szCs w:val="24"/>
          <w:vertAlign w:val="superscript"/>
        </w:rPr>
        <w:t>th</w:t>
      </w:r>
      <w:r w:rsidRPr="00203B61">
        <w:rPr>
          <w:rFonts w:cstheme="minorHAnsi"/>
          <w:sz w:val="24"/>
          <w:szCs w:val="24"/>
        </w:rPr>
        <w:t xml:space="preserve"> income percentile, but contains many parents at </w:t>
      </w:r>
      <w:r w:rsidR="00770583" w:rsidRPr="00203B61">
        <w:rPr>
          <w:rFonts w:cstheme="minorHAnsi"/>
          <w:sz w:val="24"/>
          <w:szCs w:val="24"/>
        </w:rPr>
        <w:t xml:space="preserve">other nearby values (e.g., </w:t>
      </w:r>
      <w:r w:rsidRPr="00203B61">
        <w:rPr>
          <w:rFonts w:cstheme="minorHAnsi"/>
          <w:sz w:val="24"/>
          <w:szCs w:val="24"/>
        </w:rPr>
        <w:t>the 24</w:t>
      </w:r>
      <w:r w:rsidRPr="00203B61">
        <w:rPr>
          <w:rFonts w:cstheme="minorHAnsi"/>
          <w:sz w:val="24"/>
          <w:szCs w:val="24"/>
          <w:vertAlign w:val="superscript"/>
        </w:rPr>
        <w:t>th</w:t>
      </w:r>
      <w:r w:rsidRPr="00203B61">
        <w:rPr>
          <w:rFonts w:cstheme="minorHAnsi"/>
          <w:sz w:val="24"/>
          <w:szCs w:val="24"/>
        </w:rPr>
        <w:t xml:space="preserve"> and 26</w:t>
      </w:r>
      <w:r w:rsidRPr="00203B61">
        <w:rPr>
          <w:rFonts w:cstheme="minorHAnsi"/>
          <w:sz w:val="24"/>
          <w:szCs w:val="24"/>
          <w:vertAlign w:val="superscript"/>
        </w:rPr>
        <w:t>th</w:t>
      </w:r>
      <w:r w:rsidRPr="00203B61">
        <w:rPr>
          <w:rFonts w:cstheme="minorHAnsi"/>
          <w:sz w:val="24"/>
          <w:szCs w:val="24"/>
        </w:rPr>
        <w:t xml:space="preserve"> percentiles</w:t>
      </w:r>
      <w:r w:rsidR="00770583" w:rsidRPr="00203B61">
        <w:rPr>
          <w:rFonts w:cstheme="minorHAnsi"/>
          <w:sz w:val="24"/>
          <w:szCs w:val="24"/>
        </w:rPr>
        <w:t>)</w:t>
      </w:r>
      <w:r w:rsidRPr="00203B61">
        <w:rPr>
          <w:rFonts w:cstheme="minorHAnsi"/>
          <w:sz w:val="24"/>
          <w:szCs w:val="24"/>
        </w:rPr>
        <w:t xml:space="preserve">. We </w:t>
      </w:r>
      <w:r w:rsidR="00770583" w:rsidRPr="00203B61">
        <w:rPr>
          <w:rFonts w:cstheme="minorHAnsi"/>
          <w:sz w:val="24"/>
          <w:szCs w:val="24"/>
        </w:rPr>
        <w:t xml:space="preserve">cannot </w:t>
      </w:r>
      <w:r w:rsidRPr="00203B61">
        <w:rPr>
          <w:rFonts w:cstheme="minorHAnsi"/>
          <w:sz w:val="24"/>
          <w:szCs w:val="24"/>
        </w:rPr>
        <w:t>directly measure average outcomes for children whose parental incomes are at the 25</w:t>
      </w:r>
      <w:r w:rsidRPr="00203B61">
        <w:rPr>
          <w:rFonts w:cstheme="minorHAnsi"/>
          <w:sz w:val="24"/>
          <w:szCs w:val="24"/>
          <w:vertAlign w:val="superscript"/>
        </w:rPr>
        <w:t>th</w:t>
      </w:r>
      <w:r w:rsidRPr="00203B61">
        <w:rPr>
          <w:rFonts w:cstheme="minorHAnsi"/>
          <w:sz w:val="24"/>
          <w:szCs w:val="24"/>
        </w:rPr>
        <w:t xml:space="preserve"> percentile</w:t>
      </w:r>
      <w:r w:rsidR="00770583" w:rsidRPr="00203B61">
        <w:rPr>
          <w:rFonts w:cstheme="minorHAnsi"/>
          <w:sz w:val="24"/>
          <w:szCs w:val="24"/>
        </w:rPr>
        <w:t>, so instead our model uses the data from the other percentiles to project the hypothetical outcomes of children with parent</w:t>
      </w:r>
      <w:r w:rsidR="00306CB1" w:rsidRPr="00203B61">
        <w:rPr>
          <w:rFonts w:cstheme="minorHAnsi"/>
          <w:sz w:val="24"/>
          <w:szCs w:val="24"/>
        </w:rPr>
        <w:t>al</w:t>
      </w:r>
      <w:r w:rsidR="00770583" w:rsidRPr="00203B61">
        <w:rPr>
          <w:rFonts w:cstheme="minorHAnsi"/>
          <w:sz w:val="24"/>
          <w:szCs w:val="24"/>
        </w:rPr>
        <w:t xml:space="preserve"> incomes at the 25</w:t>
      </w:r>
      <w:r w:rsidR="00770583" w:rsidRPr="00203B61">
        <w:rPr>
          <w:rFonts w:cstheme="minorHAnsi"/>
          <w:sz w:val="24"/>
          <w:szCs w:val="24"/>
          <w:vertAlign w:val="superscript"/>
        </w:rPr>
        <w:t>th</w:t>
      </w:r>
      <w:r w:rsidR="00770583" w:rsidRPr="00203B61">
        <w:rPr>
          <w:rFonts w:cstheme="minorHAnsi"/>
          <w:sz w:val="24"/>
          <w:szCs w:val="24"/>
        </w:rPr>
        <w:t xml:space="preserve"> percentile</w:t>
      </w:r>
      <w:r w:rsidRPr="00203B61">
        <w:rPr>
          <w:rFonts w:cstheme="minorHAnsi"/>
          <w:sz w:val="24"/>
          <w:szCs w:val="24"/>
        </w:rPr>
        <w:t>.</w:t>
      </w:r>
      <w:r w:rsidR="000E0499" w:rsidRPr="00203B61">
        <w:rPr>
          <w:rFonts w:cstheme="minorHAnsi"/>
          <w:sz w:val="24"/>
          <w:szCs w:val="24"/>
        </w:rPr>
        <w:t xml:space="preserve"> We rely on data from national statistics – where there are plenty of children at all of these parental income percentiles – to help guide this projection (e.g., should the prediction for the 25</w:t>
      </w:r>
      <w:r w:rsidR="000E0499" w:rsidRPr="00203B61">
        <w:rPr>
          <w:rFonts w:cstheme="minorHAnsi"/>
          <w:sz w:val="24"/>
          <w:szCs w:val="24"/>
          <w:vertAlign w:val="superscript"/>
        </w:rPr>
        <w:t>th</w:t>
      </w:r>
      <w:r w:rsidR="000E0499" w:rsidRPr="00203B61">
        <w:rPr>
          <w:rFonts w:cstheme="minorHAnsi"/>
          <w:sz w:val="24"/>
          <w:szCs w:val="24"/>
        </w:rPr>
        <w:t xml:space="preserve"> percentile be closer to that </w:t>
      </w:r>
      <w:r w:rsidR="00306CB1" w:rsidRPr="00203B61">
        <w:rPr>
          <w:rFonts w:cstheme="minorHAnsi"/>
          <w:sz w:val="24"/>
          <w:szCs w:val="24"/>
        </w:rPr>
        <w:t>of</w:t>
      </w:r>
      <w:r w:rsidR="000E0499" w:rsidRPr="00203B61">
        <w:rPr>
          <w:rFonts w:cstheme="minorHAnsi"/>
          <w:sz w:val="24"/>
          <w:szCs w:val="24"/>
        </w:rPr>
        <w:t xml:space="preserve"> the 24</w:t>
      </w:r>
      <w:r w:rsidR="000E0499" w:rsidRPr="00203B61">
        <w:rPr>
          <w:rFonts w:cstheme="minorHAnsi"/>
          <w:sz w:val="24"/>
          <w:szCs w:val="24"/>
          <w:vertAlign w:val="superscript"/>
        </w:rPr>
        <w:t>th</w:t>
      </w:r>
      <w:r w:rsidR="000E0499" w:rsidRPr="00203B61">
        <w:rPr>
          <w:rFonts w:cstheme="minorHAnsi"/>
          <w:sz w:val="24"/>
          <w:szCs w:val="24"/>
        </w:rPr>
        <w:t>, closer to the 26</w:t>
      </w:r>
      <w:r w:rsidR="000E0499" w:rsidRPr="00203B61">
        <w:rPr>
          <w:rFonts w:cstheme="minorHAnsi"/>
          <w:sz w:val="24"/>
          <w:szCs w:val="24"/>
          <w:vertAlign w:val="superscript"/>
        </w:rPr>
        <w:t>th</w:t>
      </w:r>
      <w:r w:rsidR="000E0499" w:rsidRPr="00203B61">
        <w:rPr>
          <w:rFonts w:cstheme="minorHAnsi"/>
          <w:sz w:val="24"/>
          <w:szCs w:val="24"/>
        </w:rPr>
        <w:t>, or halfway in between</w:t>
      </w:r>
      <w:r w:rsidR="00306CB1" w:rsidRPr="00203B61">
        <w:rPr>
          <w:rFonts w:cstheme="minorHAnsi"/>
          <w:sz w:val="24"/>
          <w:szCs w:val="24"/>
        </w:rPr>
        <w:t>)</w:t>
      </w:r>
      <w:r w:rsidR="000E0499" w:rsidRPr="00203B61">
        <w:rPr>
          <w:rFonts w:cstheme="minorHAnsi"/>
          <w:sz w:val="24"/>
          <w:szCs w:val="24"/>
        </w:rPr>
        <w:t>.</w:t>
      </w:r>
      <w:r w:rsidR="000E0499" w:rsidRPr="00203B61">
        <w:rPr>
          <w:rFonts w:cstheme="minorHAnsi"/>
          <w:sz w:val="24"/>
          <w:szCs w:val="24"/>
        </w:rPr>
        <w:br/>
      </w:r>
      <w:r w:rsidR="000E0499" w:rsidRPr="00203B61">
        <w:rPr>
          <w:rFonts w:cstheme="minorHAnsi"/>
          <w:sz w:val="24"/>
          <w:szCs w:val="24"/>
        </w:rPr>
        <w:br/>
      </w:r>
      <w:r w:rsidR="00143D7A">
        <w:rPr>
          <w:rFonts w:cstheme="minorHAnsi"/>
          <w:sz w:val="24"/>
          <w:szCs w:val="24"/>
        </w:rPr>
        <w:t>However, w</w:t>
      </w:r>
      <w:r w:rsidR="000E0499" w:rsidRPr="00203B61">
        <w:rPr>
          <w:rFonts w:cstheme="minorHAnsi"/>
          <w:sz w:val="24"/>
          <w:szCs w:val="24"/>
        </w:rPr>
        <w:t>e do not use statistical models to project from the outcomes of one racial or gender group to another.  For instance, when projecting the outcomes of black men at the 25</w:t>
      </w:r>
      <w:r w:rsidR="000E0499" w:rsidRPr="00203B61">
        <w:rPr>
          <w:rFonts w:cstheme="minorHAnsi"/>
          <w:sz w:val="24"/>
          <w:szCs w:val="24"/>
          <w:vertAlign w:val="superscript"/>
        </w:rPr>
        <w:t>th</w:t>
      </w:r>
      <w:r w:rsidR="000E0499" w:rsidRPr="00203B61">
        <w:rPr>
          <w:rFonts w:cstheme="minorHAnsi"/>
          <w:sz w:val="24"/>
          <w:szCs w:val="24"/>
        </w:rPr>
        <w:t xml:space="preserve"> parental income percentile, we use data on black men at other parental income percentiles but never data on children from other races or genders.</w:t>
      </w:r>
    </w:p>
    <w:p w14:paraId="4AA55692" w14:textId="77777777" w:rsidR="00C007C4" w:rsidRDefault="00C007C4" w:rsidP="00C007C4">
      <w:pPr>
        <w:pStyle w:val="ListParagraph"/>
        <w:spacing w:line="240" w:lineRule="auto"/>
        <w:rPr>
          <w:rFonts w:cstheme="minorHAnsi"/>
          <w:sz w:val="24"/>
          <w:szCs w:val="24"/>
        </w:rPr>
      </w:pPr>
    </w:p>
    <w:p w14:paraId="60BD6730" w14:textId="4CA2058B" w:rsidR="00A56479" w:rsidRPr="00143D7A" w:rsidRDefault="00143D7A" w:rsidP="00143D7A">
      <w:pPr>
        <w:pStyle w:val="ListParagraph"/>
        <w:numPr>
          <w:ilvl w:val="0"/>
          <w:numId w:val="9"/>
        </w:numPr>
        <w:spacing w:line="240" w:lineRule="auto"/>
        <w:rPr>
          <w:rFonts w:cstheme="minorHAnsi"/>
          <w:sz w:val="24"/>
          <w:szCs w:val="24"/>
        </w:rPr>
      </w:pPr>
      <w:r>
        <w:rPr>
          <w:rFonts w:cstheme="minorHAnsi"/>
          <w:sz w:val="24"/>
          <w:szCs w:val="24"/>
        </w:rPr>
        <w:t>The second complication is that w</w:t>
      </w:r>
      <w:r w:rsidR="00CE2BDA" w:rsidRPr="00055FD9">
        <w:rPr>
          <w:rFonts w:cstheme="minorHAnsi"/>
          <w:sz w:val="24"/>
          <w:szCs w:val="24"/>
        </w:rPr>
        <w:t xml:space="preserve">e must account for </w:t>
      </w:r>
      <w:r w:rsidR="00CE2BDA" w:rsidRPr="00AA4A44">
        <w:rPr>
          <w:rFonts w:cstheme="minorHAnsi"/>
          <w:sz w:val="24"/>
          <w:szCs w:val="24"/>
          <w:u w:val="single"/>
        </w:rPr>
        <w:t>movement across tracts</w:t>
      </w:r>
      <w:r w:rsidR="00CE2BDA" w:rsidRPr="00055FD9">
        <w:rPr>
          <w:rFonts w:cstheme="minorHAnsi"/>
          <w:sz w:val="24"/>
          <w:szCs w:val="24"/>
        </w:rPr>
        <w:t xml:space="preserve">, </w:t>
      </w:r>
      <w:r w:rsidR="007D3205" w:rsidRPr="00055FD9">
        <w:rPr>
          <w:rFonts w:cstheme="minorHAnsi"/>
          <w:sz w:val="24"/>
          <w:szCs w:val="24"/>
        </w:rPr>
        <w:t xml:space="preserve">as children </w:t>
      </w:r>
      <w:r w:rsidR="00AA4A44">
        <w:rPr>
          <w:rFonts w:cstheme="minorHAnsi"/>
          <w:sz w:val="24"/>
          <w:szCs w:val="24"/>
        </w:rPr>
        <w:t xml:space="preserve">often live in more than one Census tract during their </w:t>
      </w:r>
      <w:r w:rsidR="009514B6" w:rsidRPr="001E4A46">
        <w:rPr>
          <w:rFonts w:cstheme="minorHAnsi"/>
          <w:sz w:val="24"/>
          <w:szCs w:val="24"/>
        </w:rPr>
        <w:t>childhood.</w:t>
      </w:r>
      <w:r w:rsidR="00357EB3" w:rsidRPr="001E4A46">
        <w:rPr>
          <w:rFonts w:cstheme="minorHAnsi"/>
          <w:sz w:val="24"/>
          <w:szCs w:val="24"/>
        </w:rPr>
        <w:t xml:space="preserve"> </w:t>
      </w:r>
      <w:r w:rsidR="000E0499">
        <w:rPr>
          <w:rFonts w:cstheme="minorHAnsi"/>
          <w:sz w:val="24"/>
          <w:szCs w:val="24"/>
        </w:rPr>
        <w:t xml:space="preserve">We do so </w:t>
      </w:r>
      <w:r w:rsidR="00A00162" w:rsidRPr="000E0499">
        <w:rPr>
          <w:rFonts w:cstheme="minorHAnsi"/>
          <w:sz w:val="24"/>
          <w:szCs w:val="24"/>
        </w:rPr>
        <w:t>by</w:t>
      </w:r>
      <w:r w:rsidR="00BD129F" w:rsidRPr="000E0499">
        <w:rPr>
          <w:rFonts w:cstheme="minorHAnsi"/>
          <w:sz w:val="24"/>
          <w:szCs w:val="24"/>
        </w:rPr>
        <w:t xml:space="preserve"> assigning </w:t>
      </w:r>
      <w:r w:rsidR="000E0499">
        <w:rPr>
          <w:rFonts w:cstheme="minorHAnsi"/>
          <w:sz w:val="24"/>
          <w:szCs w:val="24"/>
        </w:rPr>
        <w:t>children</w:t>
      </w:r>
      <w:r w:rsidR="00486CC0" w:rsidRPr="000E0499">
        <w:rPr>
          <w:rFonts w:cstheme="minorHAnsi"/>
          <w:sz w:val="24"/>
          <w:szCs w:val="24"/>
        </w:rPr>
        <w:t xml:space="preserve"> to tracts</w:t>
      </w:r>
      <w:r w:rsidR="00BD129F" w:rsidRPr="000E0499">
        <w:rPr>
          <w:rFonts w:cstheme="minorHAnsi"/>
          <w:sz w:val="24"/>
          <w:szCs w:val="24"/>
        </w:rPr>
        <w:t xml:space="preserve"> </w:t>
      </w:r>
      <w:r w:rsidR="007975A4" w:rsidRPr="000E0499">
        <w:rPr>
          <w:rFonts w:cstheme="minorHAnsi"/>
          <w:sz w:val="24"/>
          <w:szCs w:val="24"/>
        </w:rPr>
        <w:t xml:space="preserve">in proportion to the amount of time </w:t>
      </w:r>
      <w:r w:rsidR="00486CC0" w:rsidRPr="000E0499">
        <w:rPr>
          <w:rFonts w:cstheme="minorHAnsi"/>
          <w:sz w:val="24"/>
          <w:szCs w:val="24"/>
        </w:rPr>
        <w:t xml:space="preserve">they </w:t>
      </w:r>
      <w:r w:rsidR="007975A4" w:rsidRPr="000E0499">
        <w:rPr>
          <w:rFonts w:cstheme="minorHAnsi"/>
          <w:sz w:val="24"/>
          <w:szCs w:val="24"/>
        </w:rPr>
        <w:t>spent there during childhood</w:t>
      </w:r>
      <w:r w:rsidR="00A44D4F" w:rsidRPr="000E0499">
        <w:rPr>
          <w:rFonts w:cstheme="minorHAnsi"/>
          <w:sz w:val="24"/>
          <w:szCs w:val="24"/>
        </w:rPr>
        <w:t xml:space="preserve">. </w:t>
      </w:r>
      <w:r w:rsidR="00A87B6F">
        <w:rPr>
          <w:rFonts w:cstheme="minorHAnsi"/>
          <w:sz w:val="24"/>
          <w:szCs w:val="24"/>
        </w:rPr>
        <w:t>For instance</w:t>
      </w:r>
      <w:r w:rsidR="00A87B6F" w:rsidRPr="00A87B6F">
        <w:rPr>
          <w:rFonts w:cstheme="minorHAnsi"/>
          <w:sz w:val="24"/>
          <w:szCs w:val="24"/>
        </w:rPr>
        <w:t>, if a child spent half their childhood in one</w:t>
      </w:r>
      <w:r w:rsidR="007E3A8C">
        <w:rPr>
          <w:rFonts w:cstheme="minorHAnsi"/>
          <w:sz w:val="24"/>
          <w:szCs w:val="24"/>
        </w:rPr>
        <w:t xml:space="preserve"> tract and half in another,</w:t>
      </w:r>
      <w:r w:rsidR="00A87B6F" w:rsidRPr="00A87B6F">
        <w:rPr>
          <w:rFonts w:cstheme="minorHAnsi"/>
          <w:sz w:val="24"/>
          <w:szCs w:val="24"/>
        </w:rPr>
        <w:t xml:space="preserve"> their outcomes would count half as much </w:t>
      </w:r>
      <w:r w:rsidR="00A87B6F" w:rsidRPr="00143D7A">
        <w:rPr>
          <w:rFonts w:cstheme="minorHAnsi"/>
          <w:sz w:val="24"/>
          <w:szCs w:val="24"/>
        </w:rPr>
        <w:t xml:space="preserve">for each tract </w:t>
      </w:r>
      <w:r w:rsidR="00333843" w:rsidRPr="00143D7A">
        <w:rPr>
          <w:rFonts w:cstheme="minorHAnsi"/>
          <w:sz w:val="24"/>
          <w:szCs w:val="24"/>
        </w:rPr>
        <w:t>as</w:t>
      </w:r>
      <w:r w:rsidR="00A87B6F" w:rsidRPr="00143D7A">
        <w:rPr>
          <w:rFonts w:cstheme="minorHAnsi"/>
          <w:sz w:val="24"/>
          <w:szCs w:val="24"/>
        </w:rPr>
        <w:t xml:space="preserve"> the outcomes of a child who spent their entire life in either tract.</w:t>
      </w:r>
    </w:p>
    <w:p w14:paraId="1B27B9B8" w14:textId="0D21074D" w:rsidR="00451EEC" w:rsidRDefault="009142C2" w:rsidP="001E4A46">
      <w:pPr>
        <w:spacing w:line="240" w:lineRule="auto"/>
        <w:contextualSpacing/>
        <w:rPr>
          <w:rFonts w:cstheme="minorHAnsi"/>
          <w:sz w:val="24"/>
          <w:szCs w:val="24"/>
        </w:rPr>
      </w:pPr>
      <w:r>
        <w:rPr>
          <w:rFonts w:cstheme="minorHAnsi"/>
          <w:sz w:val="24"/>
          <w:szCs w:val="24"/>
        </w:rPr>
        <w:t>Using these statistical models, we obtain estimates of average outcomes in each Census tract and subgroup (by race, gender, and parental income).</w:t>
      </w:r>
    </w:p>
    <w:p w14:paraId="57220D20" w14:textId="505E69C7" w:rsidR="009142C2" w:rsidRPr="009142C2" w:rsidRDefault="009142C2" w:rsidP="001E4A46">
      <w:pPr>
        <w:spacing w:line="240" w:lineRule="auto"/>
        <w:contextualSpacing/>
        <w:rPr>
          <w:rFonts w:cstheme="minorHAnsi"/>
          <w:sz w:val="24"/>
          <w:szCs w:val="24"/>
        </w:rPr>
      </w:pPr>
    </w:p>
    <w:p w14:paraId="1E29BC1B" w14:textId="77777777" w:rsidR="009D7320" w:rsidRDefault="009D7320" w:rsidP="001E4A46">
      <w:pPr>
        <w:spacing w:line="240" w:lineRule="auto"/>
        <w:contextualSpacing/>
        <w:rPr>
          <w:rFonts w:cstheme="minorHAnsi"/>
          <w:b/>
          <w:sz w:val="24"/>
          <w:szCs w:val="24"/>
        </w:rPr>
      </w:pPr>
    </w:p>
    <w:p w14:paraId="332B323F" w14:textId="77777777" w:rsidR="009D7320" w:rsidRDefault="009D7320" w:rsidP="001E4A46">
      <w:pPr>
        <w:spacing w:line="240" w:lineRule="auto"/>
        <w:contextualSpacing/>
        <w:rPr>
          <w:rFonts w:cstheme="minorHAnsi"/>
          <w:b/>
          <w:sz w:val="24"/>
          <w:szCs w:val="24"/>
        </w:rPr>
      </w:pPr>
    </w:p>
    <w:p w14:paraId="200935A2" w14:textId="77777777" w:rsidR="009D7320" w:rsidRDefault="009D7320" w:rsidP="001E4A46">
      <w:pPr>
        <w:spacing w:line="240" w:lineRule="auto"/>
        <w:contextualSpacing/>
        <w:rPr>
          <w:rFonts w:cstheme="minorHAnsi"/>
          <w:b/>
          <w:sz w:val="24"/>
          <w:szCs w:val="24"/>
        </w:rPr>
      </w:pPr>
    </w:p>
    <w:p w14:paraId="74C8E29F" w14:textId="77777777" w:rsidR="009D7320" w:rsidRDefault="009D7320" w:rsidP="001E4A46">
      <w:pPr>
        <w:spacing w:line="240" w:lineRule="auto"/>
        <w:contextualSpacing/>
        <w:rPr>
          <w:rFonts w:cstheme="minorHAnsi"/>
          <w:b/>
          <w:sz w:val="24"/>
          <w:szCs w:val="24"/>
        </w:rPr>
      </w:pPr>
    </w:p>
    <w:p w14:paraId="5429AF46" w14:textId="1C5B473E" w:rsidR="00BB336E" w:rsidRPr="001E4A46" w:rsidRDefault="00BB336E" w:rsidP="001E4A46">
      <w:pPr>
        <w:spacing w:line="240" w:lineRule="auto"/>
        <w:contextualSpacing/>
        <w:rPr>
          <w:rFonts w:cstheme="minorHAnsi"/>
          <w:b/>
          <w:sz w:val="24"/>
          <w:szCs w:val="24"/>
        </w:rPr>
      </w:pPr>
      <w:r w:rsidRPr="001E4A46">
        <w:rPr>
          <w:rFonts w:cstheme="minorHAnsi"/>
          <w:b/>
          <w:sz w:val="24"/>
          <w:szCs w:val="24"/>
        </w:rPr>
        <w:t>Public</w:t>
      </w:r>
      <w:r w:rsidR="009142C2">
        <w:rPr>
          <w:rFonts w:cstheme="minorHAnsi"/>
          <w:b/>
          <w:sz w:val="24"/>
          <w:szCs w:val="24"/>
        </w:rPr>
        <w:t>ly Available</w:t>
      </w:r>
      <w:r w:rsidRPr="001E4A46">
        <w:rPr>
          <w:rFonts w:cstheme="minorHAnsi"/>
          <w:b/>
          <w:sz w:val="24"/>
          <w:szCs w:val="24"/>
        </w:rPr>
        <w:t xml:space="preserve"> Estimates</w:t>
      </w:r>
    </w:p>
    <w:p w14:paraId="57F91E74" w14:textId="77777777" w:rsidR="00BB336E" w:rsidRPr="001E4A46" w:rsidRDefault="00BB336E" w:rsidP="001E4A46">
      <w:pPr>
        <w:spacing w:line="240" w:lineRule="auto"/>
        <w:contextualSpacing/>
        <w:rPr>
          <w:rFonts w:cstheme="minorHAnsi"/>
          <w:sz w:val="24"/>
          <w:szCs w:val="24"/>
        </w:rPr>
      </w:pPr>
    </w:p>
    <w:p w14:paraId="1DDEEE4B" w14:textId="78038107" w:rsidR="00BB336E" w:rsidRPr="001E4A46" w:rsidRDefault="00675216" w:rsidP="001E4A46">
      <w:pPr>
        <w:spacing w:line="240" w:lineRule="auto"/>
        <w:contextualSpacing/>
        <w:rPr>
          <w:rFonts w:cstheme="minorHAnsi"/>
          <w:sz w:val="24"/>
          <w:szCs w:val="24"/>
        </w:rPr>
      </w:pPr>
      <w:r w:rsidRPr="001E4A46">
        <w:rPr>
          <w:rFonts w:cstheme="minorHAnsi"/>
          <w:sz w:val="24"/>
          <w:szCs w:val="24"/>
        </w:rPr>
        <w:t>We take three final step</w:t>
      </w:r>
      <w:r w:rsidR="002B363E">
        <w:rPr>
          <w:rFonts w:cstheme="minorHAnsi"/>
          <w:sz w:val="24"/>
          <w:szCs w:val="24"/>
        </w:rPr>
        <w:t>s before releasing the publicly-</w:t>
      </w:r>
      <w:r w:rsidRPr="001E4A46">
        <w:rPr>
          <w:rFonts w:cstheme="minorHAnsi"/>
          <w:sz w:val="24"/>
          <w:szCs w:val="24"/>
        </w:rPr>
        <w:t>available statistics</w:t>
      </w:r>
      <w:r w:rsidR="009142C2">
        <w:rPr>
          <w:rFonts w:cstheme="minorHAnsi"/>
          <w:sz w:val="24"/>
          <w:szCs w:val="24"/>
        </w:rPr>
        <w:t xml:space="preserve"> in the Opportunity Atlas</w:t>
      </w:r>
      <w:r w:rsidRPr="001E4A46">
        <w:rPr>
          <w:rFonts w:cstheme="minorHAnsi"/>
          <w:sz w:val="24"/>
          <w:szCs w:val="24"/>
        </w:rPr>
        <w:t>.</w:t>
      </w:r>
    </w:p>
    <w:p w14:paraId="757B7DA1" w14:textId="3BC12649" w:rsidR="00AE2975" w:rsidRPr="001E4A46" w:rsidRDefault="000E0499" w:rsidP="000E0499">
      <w:pPr>
        <w:pStyle w:val="ListParagraph"/>
        <w:numPr>
          <w:ilvl w:val="0"/>
          <w:numId w:val="10"/>
        </w:numPr>
        <w:spacing w:line="240" w:lineRule="auto"/>
        <w:rPr>
          <w:rFonts w:cstheme="minorHAnsi"/>
          <w:sz w:val="24"/>
          <w:szCs w:val="24"/>
        </w:rPr>
      </w:pPr>
      <w:r>
        <w:rPr>
          <w:rFonts w:cstheme="minorHAnsi"/>
          <w:sz w:val="24"/>
          <w:szCs w:val="24"/>
        </w:rPr>
        <w:t>W</w:t>
      </w:r>
      <w:r w:rsidR="007F600A" w:rsidRPr="001E4A46">
        <w:rPr>
          <w:rFonts w:cstheme="minorHAnsi"/>
          <w:sz w:val="24"/>
          <w:szCs w:val="24"/>
        </w:rPr>
        <w:t xml:space="preserve">e </w:t>
      </w:r>
      <w:r>
        <w:rPr>
          <w:rFonts w:cstheme="minorHAnsi"/>
          <w:sz w:val="24"/>
          <w:szCs w:val="24"/>
        </w:rPr>
        <w:t>do not publish estimates</w:t>
      </w:r>
      <w:r w:rsidR="00F21E34" w:rsidRPr="001E4A46">
        <w:rPr>
          <w:rFonts w:cstheme="minorHAnsi"/>
          <w:sz w:val="24"/>
          <w:szCs w:val="24"/>
        </w:rPr>
        <w:t xml:space="preserve"> based on 20 or fewer children</w:t>
      </w:r>
      <w:r>
        <w:rPr>
          <w:rFonts w:cstheme="minorHAnsi"/>
          <w:sz w:val="24"/>
          <w:szCs w:val="24"/>
        </w:rPr>
        <w:t xml:space="preserve"> to comply with federal data disclosure standards.  In practice, estimates based on so few observations would be highly imprecise.  </w:t>
      </w:r>
      <w:r w:rsidR="00AE2975" w:rsidRPr="001E4A46">
        <w:rPr>
          <w:rFonts w:cstheme="minorHAnsi"/>
          <w:sz w:val="24"/>
          <w:szCs w:val="24"/>
        </w:rPr>
        <w:t>Since a tract rarely contains subgroups of less than 20 children, excluding such estimates omits</w:t>
      </w:r>
      <w:r w:rsidR="00D938C5" w:rsidRPr="001E4A46">
        <w:rPr>
          <w:rFonts w:cstheme="minorHAnsi"/>
          <w:sz w:val="24"/>
          <w:szCs w:val="24"/>
        </w:rPr>
        <w:t xml:space="preserve"> relatively little data.</w:t>
      </w:r>
      <w:r w:rsidR="00AE2975" w:rsidRPr="001E4A46">
        <w:rPr>
          <w:rFonts w:cstheme="minorHAnsi"/>
          <w:sz w:val="24"/>
          <w:szCs w:val="24"/>
        </w:rPr>
        <w:t xml:space="preserve"> </w:t>
      </w:r>
      <w:r w:rsidR="00D938C5" w:rsidRPr="001E4A46">
        <w:rPr>
          <w:rFonts w:cstheme="minorHAnsi"/>
          <w:sz w:val="24"/>
          <w:szCs w:val="24"/>
        </w:rPr>
        <w:t>O</w:t>
      </w:r>
      <w:r w:rsidR="00AE2975" w:rsidRPr="001E4A46">
        <w:rPr>
          <w:rFonts w:cstheme="minorHAnsi"/>
          <w:sz w:val="24"/>
          <w:szCs w:val="24"/>
        </w:rPr>
        <w:t xml:space="preserve">ur estimates </w:t>
      </w:r>
      <w:r w:rsidR="00C854F7">
        <w:rPr>
          <w:rFonts w:cstheme="minorHAnsi"/>
          <w:sz w:val="24"/>
          <w:szCs w:val="24"/>
        </w:rPr>
        <w:t>that aggregate</w:t>
      </w:r>
      <w:r w:rsidR="00AE2975" w:rsidRPr="001E4A46">
        <w:rPr>
          <w:rFonts w:cstheme="minorHAnsi"/>
          <w:sz w:val="24"/>
          <w:szCs w:val="24"/>
        </w:rPr>
        <w:t xml:space="preserve"> racial and gender groups cover 99.9% of individuals, while our </w:t>
      </w:r>
      <w:r w:rsidR="00512EDC">
        <w:rPr>
          <w:rFonts w:cstheme="minorHAnsi"/>
          <w:sz w:val="24"/>
          <w:szCs w:val="24"/>
        </w:rPr>
        <w:t xml:space="preserve">race-specific estimates </w:t>
      </w:r>
      <w:r w:rsidR="00AE2975" w:rsidRPr="001E4A46">
        <w:rPr>
          <w:rFonts w:cstheme="minorHAnsi"/>
          <w:sz w:val="24"/>
          <w:szCs w:val="24"/>
        </w:rPr>
        <w:t>cover 96% of individuals.</w:t>
      </w:r>
      <w:r w:rsidR="007F600A" w:rsidRPr="001E4A46">
        <w:rPr>
          <w:rFonts w:cstheme="minorHAnsi"/>
          <w:sz w:val="24"/>
          <w:szCs w:val="24"/>
        </w:rPr>
        <w:t xml:space="preserve"> </w:t>
      </w:r>
    </w:p>
    <w:p w14:paraId="1262F053" w14:textId="77777777" w:rsidR="00734CD4" w:rsidRDefault="00734CD4" w:rsidP="00734CD4">
      <w:pPr>
        <w:pStyle w:val="ListParagraph"/>
        <w:spacing w:line="240" w:lineRule="auto"/>
        <w:rPr>
          <w:rFonts w:cstheme="minorHAnsi"/>
          <w:sz w:val="24"/>
          <w:szCs w:val="24"/>
        </w:rPr>
      </w:pPr>
    </w:p>
    <w:p w14:paraId="04AC0C78" w14:textId="77777777" w:rsidR="009142C2" w:rsidRDefault="009142C2" w:rsidP="001E4A46">
      <w:pPr>
        <w:pStyle w:val="ListParagraph"/>
        <w:numPr>
          <w:ilvl w:val="0"/>
          <w:numId w:val="10"/>
        </w:numPr>
        <w:spacing w:line="240" w:lineRule="auto"/>
        <w:contextualSpacing w:val="0"/>
        <w:rPr>
          <w:rFonts w:cstheme="minorHAnsi"/>
          <w:sz w:val="24"/>
          <w:szCs w:val="24"/>
        </w:rPr>
      </w:pPr>
      <w:r w:rsidRPr="009142C2">
        <w:rPr>
          <w:rFonts w:cstheme="minorHAnsi"/>
          <w:sz w:val="24"/>
          <w:szCs w:val="24"/>
        </w:rPr>
        <w:t xml:space="preserve">Second, to protect privacy we add small random numbers (known as “noise”) to all our estimates to protect the privacy of individuals associated with each tract. This “noise” is typically quite small and does not affect the estimates meaningfully, but it can sometimes have a disproportionate effect on tracts with few children. For these reasons, specific estimates should be interpreted with caution, particularly in small subgroups and for selected outcomes where we display warnings that margins of error may be high. </w:t>
      </w:r>
    </w:p>
    <w:p w14:paraId="229082D3" w14:textId="50601569" w:rsidR="001B4812" w:rsidRPr="002B363E" w:rsidRDefault="001B4812" w:rsidP="001E4A46">
      <w:pPr>
        <w:pStyle w:val="ListParagraph"/>
        <w:numPr>
          <w:ilvl w:val="0"/>
          <w:numId w:val="10"/>
        </w:numPr>
        <w:spacing w:line="240" w:lineRule="auto"/>
        <w:contextualSpacing w:val="0"/>
        <w:rPr>
          <w:rFonts w:cstheme="minorHAnsi"/>
          <w:sz w:val="24"/>
          <w:szCs w:val="24"/>
        </w:rPr>
      </w:pPr>
      <w:r w:rsidRPr="001B4812">
        <w:rPr>
          <w:rFonts w:cstheme="minorHAnsi"/>
          <w:sz w:val="24"/>
          <w:szCs w:val="24"/>
        </w:rPr>
        <w:t xml:space="preserve">We convert our estimates from </w:t>
      </w:r>
      <w:r w:rsidR="009142C2">
        <w:rPr>
          <w:rFonts w:cstheme="minorHAnsi"/>
          <w:sz w:val="24"/>
          <w:szCs w:val="24"/>
        </w:rPr>
        <w:t>percentiles</w:t>
      </w:r>
      <w:r w:rsidRPr="001B4812">
        <w:rPr>
          <w:rFonts w:cstheme="minorHAnsi"/>
          <w:sz w:val="24"/>
          <w:szCs w:val="24"/>
        </w:rPr>
        <w:t xml:space="preserve"> back to dollars where applicable in order to facilitate interpretation. For instance, if we estimate that children at the 25</w:t>
      </w:r>
      <w:r w:rsidRPr="001B4812">
        <w:rPr>
          <w:rFonts w:cstheme="minorHAnsi"/>
          <w:sz w:val="24"/>
          <w:szCs w:val="24"/>
          <w:vertAlign w:val="superscript"/>
        </w:rPr>
        <w:t>th</w:t>
      </w:r>
      <w:r w:rsidRPr="001B4812">
        <w:rPr>
          <w:rFonts w:cstheme="minorHAnsi"/>
          <w:sz w:val="24"/>
          <w:szCs w:val="24"/>
        </w:rPr>
        <w:t xml:space="preserve"> parental income percentile growing up in </w:t>
      </w:r>
      <w:r>
        <w:rPr>
          <w:rFonts w:cstheme="minorHAnsi"/>
          <w:sz w:val="24"/>
          <w:szCs w:val="24"/>
        </w:rPr>
        <w:t>a given tract end up at the 50</w:t>
      </w:r>
      <w:r w:rsidRPr="001B4812">
        <w:rPr>
          <w:rFonts w:cstheme="minorHAnsi"/>
          <w:sz w:val="24"/>
          <w:szCs w:val="24"/>
          <w:vertAlign w:val="superscript"/>
        </w:rPr>
        <w:t>th</w:t>
      </w:r>
      <w:r w:rsidRPr="001B4812">
        <w:rPr>
          <w:rFonts w:cstheme="minorHAnsi"/>
          <w:sz w:val="24"/>
          <w:szCs w:val="24"/>
        </w:rPr>
        <w:t xml:space="preserve"> </w:t>
      </w:r>
      <w:r>
        <w:rPr>
          <w:rFonts w:cstheme="minorHAnsi"/>
          <w:sz w:val="24"/>
          <w:szCs w:val="24"/>
        </w:rPr>
        <w:t>percentile of children’s income</w:t>
      </w:r>
      <w:r w:rsidRPr="001B4812">
        <w:rPr>
          <w:rFonts w:cstheme="minorHAnsi"/>
          <w:sz w:val="24"/>
          <w:szCs w:val="24"/>
        </w:rPr>
        <w:t xml:space="preserve"> on average, then we report in the Atlas</w:t>
      </w:r>
      <w:r>
        <w:rPr>
          <w:rFonts w:cstheme="minorHAnsi"/>
          <w:sz w:val="24"/>
          <w:szCs w:val="24"/>
        </w:rPr>
        <w:t xml:space="preserve"> that the average income</w:t>
      </w:r>
      <w:r w:rsidRPr="001B4812">
        <w:rPr>
          <w:rFonts w:cstheme="minorHAnsi"/>
          <w:sz w:val="24"/>
          <w:szCs w:val="24"/>
        </w:rPr>
        <w:t xml:space="preserve"> </w:t>
      </w:r>
      <w:r>
        <w:rPr>
          <w:rFonts w:cstheme="minorHAnsi"/>
          <w:sz w:val="24"/>
          <w:szCs w:val="24"/>
        </w:rPr>
        <w:t>for</w:t>
      </w:r>
      <w:r w:rsidRPr="001B4812">
        <w:rPr>
          <w:rFonts w:cstheme="minorHAnsi"/>
          <w:sz w:val="24"/>
          <w:szCs w:val="24"/>
        </w:rPr>
        <w:t xml:space="preserve"> these children </w:t>
      </w:r>
      <w:r>
        <w:rPr>
          <w:rFonts w:cstheme="minorHAnsi"/>
          <w:sz w:val="24"/>
          <w:szCs w:val="24"/>
        </w:rPr>
        <w:t>is $50,000, corresponding to</w:t>
      </w:r>
      <w:r w:rsidRPr="001B4812">
        <w:rPr>
          <w:rFonts w:cstheme="minorHAnsi"/>
          <w:sz w:val="24"/>
          <w:szCs w:val="24"/>
        </w:rPr>
        <w:t xml:space="preserve"> the 50</w:t>
      </w:r>
      <w:r w:rsidRPr="001B4812">
        <w:rPr>
          <w:rFonts w:cstheme="minorHAnsi"/>
          <w:sz w:val="24"/>
          <w:szCs w:val="24"/>
          <w:vertAlign w:val="superscript"/>
        </w:rPr>
        <w:t>th</w:t>
      </w:r>
      <w:r w:rsidRPr="001B4812">
        <w:rPr>
          <w:rFonts w:cstheme="minorHAnsi"/>
          <w:sz w:val="24"/>
          <w:szCs w:val="24"/>
        </w:rPr>
        <w:t xml:space="preserve"> percentile of the children’s national income distribution</w:t>
      </w:r>
      <w:r w:rsidR="009142C2">
        <w:rPr>
          <w:rFonts w:cstheme="minorHAnsi"/>
          <w:sz w:val="24"/>
          <w:szCs w:val="24"/>
        </w:rPr>
        <w:t xml:space="preserve"> in 2015</w:t>
      </w:r>
      <w:r w:rsidRPr="001B4812">
        <w:rPr>
          <w:rFonts w:cstheme="minorHAnsi"/>
          <w:sz w:val="24"/>
          <w:szCs w:val="24"/>
        </w:rPr>
        <w:t>.</w:t>
      </w:r>
    </w:p>
    <w:p w14:paraId="3F1CCBD6" w14:textId="6AAD1342" w:rsidR="009142C2" w:rsidRDefault="009142C2" w:rsidP="001E4A46">
      <w:pPr>
        <w:spacing w:line="240" w:lineRule="auto"/>
        <w:contextualSpacing/>
        <w:rPr>
          <w:rFonts w:cstheme="minorHAnsi"/>
          <w:sz w:val="24"/>
          <w:szCs w:val="24"/>
        </w:rPr>
      </w:pPr>
    </w:p>
    <w:p w14:paraId="59765D1B" w14:textId="56843D8C" w:rsidR="00CA5886" w:rsidRPr="001E4A46" w:rsidRDefault="0036490C" w:rsidP="001E4A46">
      <w:pPr>
        <w:spacing w:line="240" w:lineRule="auto"/>
        <w:contextualSpacing/>
        <w:rPr>
          <w:rFonts w:cstheme="minorHAnsi"/>
          <w:sz w:val="24"/>
          <w:szCs w:val="24"/>
        </w:rPr>
      </w:pPr>
      <w:r>
        <w:rPr>
          <w:rFonts w:cstheme="minorHAnsi"/>
          <w:sz w:val="24"/>
          <w:szCs w:val="24"/>
        </w:rPr>
        <w:t>We follow this procedure to report es</w:t>
      </w:r>
      <w:r w:rsidR="009142C2">
        <w:rPr>
          <w:rFonts w:cstheme="minorHAnsi"/>
          <w:sz w:val="24"/>
          <w:szCs w:val="24"/>
        </w:rPr>
        <w:t>timates for a broad range of outcomes, inclu</w:t>
      </w:r>
      <w:r w:rsidR="009142C2" w:rsidRPr="001E4A46">
        <w:rPr>
          <w:rFonts w:cstheme="minorHAnsi"/>
          <w:sz w:val="24"/>
          <w:szCs w:val="24"/>
        </w:rPr>
        <w:t>ding earnings (household income in 2014-2015), incarceration rates (</w:t>
      </w:r>
      <w:r w:rsidR="009142C2">
        <w:rPr>
          <w:rFonts w:cstheme="minorHAnsi"/>
          <w:sz w:val="24"/>
          <w:szCs w:val="24"/>
        </w:rPr>
        <w:t>as measured in the 2010 Decennial Census on April 1, 2010</w:t>
      </w:r>
      <w:r w:rsidR="009142C2" w:rsidRPr="001E4A46">
        <w:rPr>
          <w:rFonts w:cstheme="minorHAnsi"/>
          <w:sz w:val="24"/>
          <w:szCs w:val="24"/>
        </w:rPr>
        <w:t xml:space="preserve">), and </w:t>
      </w:r>
      <w:r w:rsidR="009142C2">
        <w:rPr>
          <w:rFonts w:cstheme="minorHAnsi"/>
          <w:sz w:val="24"/>
          <w:szCs w:val="24"/>
        </w:rPr>
        <w:t>educational</w:t>
      </w:r>
      <w:r w:rsidR="009142C2" w:rsidRPr="001E4A46">
        <w:rPr>
          <w:rFonts w:cstheme="minorHAnsi"/>
          <w:sz w:val="24"/>
          <w:szCs w:val="24"/>
        </w:rPr>
        <w:t xml:space="preserve"> attainment (</w:t>
      </w:r>
      <w:r w:rsidR="009142C2">
        <w:rPr>
          <w:rFonts w:cstheme="minorHAnsi"/>
          <w:sz w:val="24"/>
          <w:szCs w:val="24"/>
        </w:rPr>
        <w:t>high-school degree or 4-year-college degree)</w:t>
      </w:r>
      <w:r w:rsidR="009142C2" w:rsidRPr="001E4A46">
        <w:rPr>
          <w:rFonts w:cstheme="minorHAnsi"/>
          <w:sz w:val="24"/>
          <w:szCs w:val="24"/>
        </w:rPr>
        <w:t xml:space="preserve">. </w:t>
      </w:r>
      <w:r w:rsidR="009142C2">
        <w:rPr>
          <w:rFonts w:cstheme="minorHAnsi"/>
          <w:sz w:val="24"/>
          <w:szCs w:val="24"/>
        </w:rPr>
        <w:t>We provide</w:t>
      </w:r>
      <w:r w:rsidR="00CA5886" w:rsidRPr="001E4A46">
        <w:rPr>
          <w:rFonts w:cstheme="minorHAnsi"/>
          <w:sz w:val="24"/>
          <w:szCs w:val="24"/>
        </w:rPr>
        <w:t xml:space="preserve"> estimate</w:t>
      </w:r>
      <w:r w:rsidR="00C007C4">
        <w:rPr>
          <w:rFonts w:cstheme="minorHAnsi"/>
          <w:sz w:val="24"/>
          <w:szCs w:val="24"/>
        </w:rPr>
        <w:t>s</w:t>
      </w:r>
      <w:r w:rsidR="00CA5886" w:rsidRPr="001E4A46">
        <w:rPr>
          <w:rFonts w:cstheme="minorHAnsi"/>
          <w:sz w:val="24"/>
          <w:szCs w:val="24"/>
        </w:rPr>
        <w:t xml:space="preserve"> </w:t>
      </w:r>
      <w:r>
        <w:rPr>
          <w:rFonts w:cstheme="minorHAnsi"/>
          <w:sz w:val="24"/>
          <w:szCs w:val="24"/>
        </w:rPr>
        <w:t xml:space="preserve">for all children in a tract, </w:t>
      </w:r>
      <w:r w:rsidR="00CA5886" w:rsidRPr="001E4A46">
        <w:rPr>
          <w:rFonts w:cstheme="minorHAnsi"/>
          <w:sz w:val="24"/>
          <w:szCs w:val="24"/>
        </w:rPr>
        <w:t xml:space="preserve">as well as </w:t>
      </w:r>
      <w:r>
        <w:rPr>
          <w:rFonts w:cstheme="minorHAnsi"/>
          <w:sz w:val="24"/>
          <w:szCs w:val="24"/>
        </w:rPr>
        <w:t xml:space="preserve">for </w:t>
      </w:r>
      <w:r w:rsidR="009142C2">
        <w:rPr>
          <w:rFonts w:cstheme="minorHAnsi"/>
          <w:sz w:val="24"/>
          <w:szCs w:val="24"/>
        </w:rPr>
        <w:t>the following demographic subgroups</w:t>
      </w:r>
      <w:r>
        <w:rPr>
          <w:rFonts w:cstheme="minorHAnsi"/>
          <w:sz w:val="24"/>
          <w:szCs w:val="24"/>
        </w:rPr>
        <w:t>:</w:t>
      </w:r>
    </w:p>
    <w:p w14:paraId="0ECE93E9" w14:textId="77777777" w:rsidR="00564546" w:rsidRDefault="00564546" w:rsidP="00564546">
      <w:pPr>
        <w:pStyle w:val="ListParagraph"/>
        <w:numPr>
          <w:ilvl w:val="0"/>
          <w:numId w:val="8"/>
        </w:numPr>
        <w:spacing w:line="240" w:lineRule="auto"/>
        <w:rPr>
          <w:rFonts w:cstheme="minorHAnsi"/>
          <w:sz w:val="24"/>
          <w:szCs w:val="24"/>
        </w:rPr>
      </w:pPr>
      <w:r w:rsidRPr="001E4A46">
        <w:rPr>
          <w:rFonts w:cstheme="minorHAnsi"/>
          <w:b/>
          <w:sz w:val="24"/>
          <w:szCs w:val="24"/>
        </w:rPr>
        <w:t>Parental Income</w:t>
      </w:r>
      <w:r w:rsidRPr="001E4A46">
        <w:rPr>
          <w:rFonts w:cstheme="minorHAnsi"/>
          <w:sz w:val="24"/>
          <w:szCs w:val="24"/>
        </w:rPr>
        <w:t xml:space="preserve"> - We provide estimates </w:t>
      </w:r>
      <w:r>
        <w:rPr>
          <w:rFonts w:cstheme="minorHAnsi"/>
          <w:sz w:val="24"/>
          <w:szCs w:val="24"/>
        </w:rPr>
        <w:t>at five specific</w:t>
      </w:r>
      <w:r w:rsidRPr="001E4A46">
        <w:rPr>
          <w:rFonts w:cstheme="minorHAnsi"/>
          <w:sz w:val="24"/>
          <w:szCs w:val="24"/>
        </w:rPr>
        <w:t xml:space="preserve"> </w:t>
      </w:r>
      <w:r>
        <w:rPr>
          <w:rFonts w:cstheme="minorHAnsi"/>
          <w:sz w:val="24"/>
          <w:szCs w:val="24"/>
        </w:rPr>
        <w:t xml:space="preserve">household </w:t>
      </w:r>
      <w:r w:rsidRPr="001E4A46">
        <w:rPr>
          <w:rFonts w:cstheme="minorHAnsi"/>
          <w:sz w:val="24"/>
          <w:szCs w:val="24"/>
        </w:rPr>
        <w:t xml:space="preserve">income </w:t>
      </w:r>
      <w:r>
        <w:rPr>
          <w:rFonts w:cstheme="minorHAnsi"/>
          <w:sz w:val="24"/>
          <w:szCs w:val="24"/>
        </w:rPr>
        <w:t xml:space="preserve">levels.  The Basic version of the Atlas includes three income levels: </w:t>
      </w:r>
      <w:r w:rsidRPr="00E34F3F">
        <w:rPr>
          <w:rFonts w:cstheme="minorHAnsi"/>
          <w:i/>
          <w:sz w:val="24"/>
          <w:szCs w:val="24"/>
        </w:rPr>
        <w:t>Low</w:t>
      </w:r>
      <w:r w:rsidRPr="001E4A46">
        <w:rPr>
          <w:rFonts w:cstheme="minorHAnsi"/>
          <w:sz w:val="24"/>
          <w:szCs w:val="24"/>
        </w:rPr>
        <w:t xml:space="preserve"> </w:t>
      </w:r>
      <w:r>
        <w:rPr>
          <w:rFonts w:cstheme="minorHAnsi"/>
          <w:sz w:val="24"/>
          <w:szCs w:val="24"/>
        </w:rPr>
        <w:t>(</w:t>
      </w:r>
      <w:r w:rsidRPr="001E4A46">
        <w:rPr>
          <w:rFonts w:cstheme="minorHAnsi"/>
          <w:sz w:val="24"/>
          <w:szCs w:val="24"/>
        </w:rPr>
        <w:t>25</w:t>
      </w:r>
      <w:r w:rsidRPr="001E4A46">
        <w:rPr>
          <w:rFonts w:cstheme="minorHAnsi"/>
          <w:sz w:val="24"/>
          <w:szCs w:val="24"/>
          <w:vertAlign w:val="superscript"/>
        </w:rPr>
        <w:t>th</w:t>
      </w:r>
      <w:r w:rsidRPr="001E4A46">
        <w:rPr>
          <w:rFonts w:cstheme="minorHAnsi"/>
          <w:sz w:val="24"/>
          <w:szCs w:val="24"/>
        </w:rPr>
        <w:t xml:space="preserve"> percentile or $2</w:t>
      </w:r>
      <w:r>
        <w:rPr>
          <w:rFonts w:cstheme="minorHAnsi"/>
          <w:sz w:val="24"/>
          <w:szCs w:val="24"/>
        </w:rPr>
        <w:t>7</w:t>
      </w:r>
      <w:r w:rsidRPr="001E4A46">
        <w:rPr>
          <w:rFonts w:cstheme="minorHAnsi"/>
          <w:sz w:val="24"/>
          <w:szCs w:val="24"/>
        </w:rPr>
        <w:t>,000/year)</w:t>
      </w:r>
      <w:r>
        <w:rPr>
          <w:rFonts w:cstheme="minorHAnsi"/>
          <w:sz w:val="24"/>
          <w:szCs w:val="24"/>
        </w:rPr>
        <w:t xml:space="preserve">, </w:t>
      </w:r>
      <w:r w:rsidRPr="00E34F3F">
        <w:rPr>
          <w:rFonts w:cstheme="minorHAnsi"/>
          <w:i/>
          <w:sz w:val="24"/>
          <w:szCs w:val="24"/>
        </w:rPr>
        <w:t>Middle</w:t>
      </w:r>
      <w:r w:rsidRPr="001E4A46">
        <w:rPr>
          <w:rFonts w:cstheme="minorHAnsi"/>
          <w:sz w:val="24"/>
          <w:szCs w:val="24"/>
        </w:rPr>
        <w:t xml:space="preserve"> (50</w:t>
      </w:r>
      <w:r w:rsidRPr="001E4A46">
        <w:rPr>
          <w:rFonts w:cstheme="minorHAnsi"/>
          <w:sz w:val="24"/>
          <w:szCs w:val="24"/>
          <w:vertAlign w:val="superscript"/>
        </w:rPr>
        <w:t>th</w:t>
      </w:r>
      <w:r w:rsidRPr="001E4A46">
        <w:rPr>
          <w:rFonts w:cstheme="minorHAnsi"/>
          <w:sz w:val="24"/>
          <w:szCs w:val="24"/>
        </w:rPr>
        <w:t xml:space="preserve"> percentile or $5</w:t>
      </w:r>
      <w:r>
        <w:rPr>
          <w:rFonts w:cstheme="minorHAnsi"/>
          <w:sz w:val="24"/>
          <w:szCs w:val="24"/>
        </w:rPr>
        <w:t>5</w:t>
      </w:r>
      <w:r w:rsidRPr="001E4A46">
        <w:rPr>
          <w:rFonts w:cstheme="minorHAnsi"/>
          <w:sz w:val="24"/>
          <w:szCs w:val="24"/>
        </w:rPr>
        <w:t>,000/year)</w:t>
      </w:r>
      <w:r>
        <w:rPr>
          <w:rFonts w:cstheme="minorHAnsi"/>
          <w:sz w:val="24"/>
          <w:szCs w:val="24"/>
        </w:rPr>
        <w:t xml:space="preserve">, and </w:t>
      </w:r>
      <w:r w:rsidRPr="00E34F3F">
        <w:rPr>
          <w:rFonts w:cstheme="minorHAnsi"/>
          <w:i/>
          <w:sz w:val="24"/>
          <w:szCs w:val="24"/>
        </w:rPr>
        <w:t>High</w:t>
      </w:r>
      <w:r w:rsidRPr="001E4A46">
        <w:rPr>
          <w:rFonts w:cstheme="minorHAnsi"/>
          <w:sz w:val="24"/>
          <w:szCs w:val="24"/>
        </w:rPr>
        <w:t xml:space="preserve"> (75</w:t>
      </w:r>
      <w:r w:rsidRPr="001E4A46">
        <w:rPr>
          <w:rFonts w:cstheme="minorHAnsi"/>
          <w:sz w:val="24"/>
          <w:szCs w:val="24"/>
          <w:vertAlign w:val="superscript"/>
        </w:rPr>
        <w:t>th</w:t>
      </w:r>
      <w:r w:rsidRPr="001E4A46">
        <w:rPr>
          <w:rFonts w:cstheme="minorHAnsi"/>
          <w:sz w:val="24"/>
          <w:szCs w:val="24"/>
        </w:rPr>
        <w:t xml:space="preserve"> percentile or $9</w:t>
      </w:r>
      <w:r>
        <w:rPr>
          <w:rFonts w:cstheme="minorHAnsi"/>
          <w:sz w:val="24"/>
          <w:szCs w:val="24"/>
        </w:rPr>
        <w:t>4</w:t>
      </w:r>
      <w:r w:rsidRPr="001E4A46">
        <w:rPr>
          <w:rFonts w:cstheme="minorHAnsi"/>
          <w:sz w:val="24"/>
          <w:szCs w:val="24"/>
        </w:rPr>
        <w:t>,000/year)</w:t>
      </w:r>
      <w:r>
        <w:rPr>
          <w:rFonts w:cstheme="minorHAnsi"/>
          <w:sz w:val="24"/>
          <w:szCs w:val="24"/>
        </w:rPr>
        <w:t xml:space="preserve">.  The “Advanced” version additionally includes </w:t>
      </w:r>
      <w:r w:rsidRPr="00E34F3F">
        <w:rPr>
          <w:rFonts w:cstheme="minorHAnsi"/>
          <w:i/>
          <w:sz w:val="24"/>
          <w:szCs w:val="24"/>
        </w:rPr>
        <w:t>Lowest</w:t>
      </w:r>
      <w:r w:rsidRPr="001E4A46">
        <w:rPr>
          <w:rFonts w:cstheme="minorHAnsi"/>
          <w:sz w:val="24"/>
          <w:szCs w:val="24"/>
        </w:rPr>
        <w:t xml:space="preserve"> (</w:t>
      </w:r>
      <w:r>
        <w:rPr>
          <w:rFonts w:cstheme="minorHAnsi"/>
          <w:sz w:val="24"/>
          <w:szCs w:val="24"/>
        </w:rPr>
        <w:t>0</w:t>
      </w:r>
      <w:r w:rsidRPr="009142C2">
        <w:rPr>
          <w:rFonts w:cstheme="minorHAnsi"/>
          <w:sz w:val="24"/>
          <w:szCs w:val="24"/>
          <w:vertAlign w:val="superscript"/>
        </w:rPr>
        <w:t>th</w:t>
      </w:r>
      <w:r>
        <w:rPr>
          <w:rFonts w:cstheme="minorHAnsi"/>
          <w:sz w:val="24"/>
          <w:szCs w:val="24"/>
        </w:rPr>
        <w:t xml:space="preserve"> percentile or $2,200/year) and </w:t>
      </w:r>
      <w:r w:rsidRPr="00E34F3F">
        <w:rPr>
          <w:rFonts w:cstheme="minorHAnsi"/>
          <w:i/>
          <w:sz w:val="24"/>
          <w:szCs w:val="24"/>
        </w:rPr>
        <w:t>Highest</w:t>
      </w:r>
      <w:r w:rsidRPr="001E4A46">
        <w:rPr>
          <w:rFonts w:cstheme="minorHAnsi"/>
          <w:sz w:val="24"/>
          <w:szCs w:val="24"/>
        </w:rPr>
        <w:t xml:space="preserve"> (100</w:t>
      </w:r>
      <w:r w:rsidRPr="001E4A46">
        <w:rPr>
          <w:rFonts w:cstheme="minorHAnsi"/>
          <w:sz w:val="24"/>
          <w:szCs w:val="24"/>
          <w:vertAlign w:val="superscript"/>
        </w:rPr>
        <w:t>th</w:t>
      </w:r>
      <w:r w:rsidRPr="001E4A46">
        <w:rPr>
          <w:rFonts w:cstheme="minorHAnsi"/>
          <w:sz w:val="24"/>
          <w:szCs w:val="24"/>
        </w:rPr>
        <w:t xml:space="preserve"> percentile or $1,</w:t>
      </w:r>
      <w:r>
        <w:rPr>
          <w:rFonts w:cstheme="minorHAnsi"/>
          <w:sz w:val="24"/>
          <w:szCs w:val="24"/>
        </w:rPr>
        <w:t>5</w:t>
      </w:r>
      <w:r w:rsidRPr="001E4A46">
        <w:rPr>
          <w:rFonts w:cstheme="minorHAnsi"/>
          <w:sz w:val="24"/>
          <w:szCs w:val="24"/>
        </w:rPr>
        <w:t>00,000/year)</w:t>
      </w:r>
      <w:r>
        <w:rPr>
          <w:rFonts w:cstheme="minorHAnsi"/>
          <w:sz w:val="24"/>
          <w:szCs w:val="24"/>
        </w:rPr>
        <w:t>.</w:t>
      </w:r>
    </w:p>
    <w:p w14:paraId="77B5BB88" w14:textId="77777777" w:rsidR="007F2906" w:rsidRPr="001E4A46" w:rsidRDefault="007F2906" w:rsidP="007F2906">
      <w:pPr>
        <w:pStyle w:val="ListParagraph"/>
        <w:spacing w:line="240" w:lineRule="auto"/>
        <w:rPr>
          <w:rFonts w:cstheme="minorHAnsi"/>
          <w:sz w:val="24"/>
          <w:szCs w:val="24"/>
        </w:rPr>
      </w:pPr>
    </w:p>
    <w:p w14:paraId="2BB9184C" w14:textId="4FA4920A" w:rsidR="007F2906" w:rsidRPr="007F2906" w:rsidRDefault="00CA5886" w:rsidP="007F2906">
      <w:pPr>
        <w:pStyle w:val="ListParagraph"/>
        <w:numPr>
          <w:ilvl w:val="0"/>
          <w:numId w:val="8"/>
        </w:numPr>
        <w:spacing w:line="240" w:lineRule="auto"/>
        <w:rPr>
          <w:rFonts w:cstheme="minorHAnsi"/>
          <w:sz w:val="24"/>
          <w:szCs w:val="24"/>
        </w:rPr>
      </w:pPr>
      <w:r w:rsidRPr="001E4A46">
        <w:rPr>
          <w:rFonts w:cstheme="minorHAnsi"/>
          <w:b/>
          <w:sz w:val="24"/>
          <w:szCs w:val="24"/>
        </w:rPr>
        <w:lastRenderedPageBreak/>
        <w:t>Child Race</w:t>
      </w:r>
      <w:r w:rsidR="001B4812">
        <w:rPr>
          <w:rFonts w:cstheme="minorHAnsi"/>
          <w:sz w:val="24"/>
          <w:szCs w:val="24"/>
        </w:rPr>
        <w:t xml:space="preserve"> - We provide estimates grouped by</w:t>
      </w:r>
      <w:r w:rsidRPr="001E4A46">
        <w:rPr>
          <w:rFonts w:cstheme="minorHAnsi"/>
          <w:sz w:val="24"/>
          <w:szCs w:val="24"/>
        </w:rPr>
        <w:t xml:space="preserve"> </w:t>
      </w:r>
      <w:r w:rsidR="0036490C">
        <w:rPr>
          <w:rFonts w:cstheme="minorHAnsi"/>
          <w:sz w:val="24"/>
          <w:szCs w:val="24"/>
        </w:rPr>
        <w:t>five</w:t>
      </w:r>
      <w:r w:rsidRPr="001E4A46">
        <w:rPr>
          <w:rFonts w:cstheme="minorHAnsi"/>
          <w:sz w:val="24"/>
          <w:szCs w:val="24"/>
        </w:rPr>
        <w:t xml:space="preserve"> race</w:t>
      </w:r>
      <w:r w:rsidR="0036490C">
        <w:rPr>
          <w:rFonts w:cstheme="minorHAnsi"/>
          <w:sz w:val="24"/>
          <w:szCs w:val="24"/>
        </w:rPr>
        <w:t xml:space="preserve"> and ethnicity</w:t>
      </w:r>
      <w:r w:rsidRPr="001E4A46">
        <w:rPr>
          <w:rFonts w:cstheme="minorHAnsi"/>
          <w:sz w:val="24"/>
          <w:szCs w:val="24"/>
        </w:rPr>
        <w:t xml:space="preserve"> categories. </w:t>
      </w:r>
      <w:r w:rsidR="0036490C">
        <w:rPr>
          <w:rFonts w:cstheme="minorHAnsi"/>
          <w:sz w:val="24"/>
          <w:szCs w:val="24"/>
        </w:rPr>
        <w:t>Categories include</w:t>
      </w:r>
      <w:r w:rsidR="006A5C55" w:rsidRPr="001E4A46">
        <w:rPr>
          <w:rFonts w:cstheme="minorHAnsi"/>
          <w:sz w:val="24"/>
          <w:szCs w:val="24"/>
        </w:rPr>
        <w:t xml:space="preserve"> </w:t>
      </w:r>
      <w:r w:rsidR="006A5C55" w:rsidRPr="00E34F3F">
        <w:rPr>
          <w:rFonts w:cstheme="minorHAnsi"/>
          <w:i/>
          <w:sz w:val="24"/>
          <w:szCs w:val="24"/>
        </w:rPr>
        <w:t>Hispanic</w:t>
      </w:r>
      <w:r w:rsidR="006A5C55" w:rsidRPr="001E4A46">
        <w:rPr>
          <w:rFonts w:cstheme="minorHAnsi"/>
          <w:sz w:val="24"/>
          <w:szCs w:val="24"/>
        </w:rPr>
        <w:t xml:space="preserve"> </w:t>
      </w:r>
      <w:r w:rsidR="0036490C">
        <w:rPr>
          <w:rFonts w:cstheme="minorHAnsi"/>
          <w:sz w:val="24"/>
          <w:szCs w:val="24"/>
        </w:rPr>
        <w:t>(based on reported ethnicity, including all races)</w:t>
      </w:r>
      <w:r w:rsidR="006A5C55" w:rsidRPr="001E4A46">
        <w:rPr>
          <w:rFonts w:cstheme="minorHAnsi"/>
          <w:sz w:val="24"/>
          <w:szCs w:val="24"/>
        </w:rPr>
        <w:t xml:space="preserve"> a</w:t>
      </w:r>
      <w:r w:rsidR="0036490C">
        <w:rPr>
          <w:rFonts w:cstheme="minorHAnsi"/>
          <w:sz w:val="24"/>
          <w:szCs w:val="24"/>
        </w:rPr>
        <w:t xml:space="preserve">s well as four racial categories for </w:t>
      </w:r>
      <w:r w:rsidR="006A5C55" w:rsidRPr="001E4A46">
        <w:rPr>
          <w:rFonts w:cstheme="minorHAnsi"/>
          <w:sz w:val="24"/>
          <w:szCs w:val="24"/>
        </w:rPr>
        <w:t xml:space="preserve">non-Hispanic </w:t>
      </w:r>
      <w:r w:rsidR="0036490C">
        <w:rPr>
          <w:rFonts w:cstheme="minorHAnsi"/>
          <w:sz w:val="24"/>
          <w:szCs w:val="24"/>
        </w:rPr>
        <w:t>individuals</w:t>
      </w:r>
      <w:r w:rsidR="006A5C55" w:rsidRPr="001E4A46">
        <w:rPr>
          <w:rFonts w:cstheme="minorHAnsi"/>
          <w:sz w:val="24"/>
          <w:szCs w:val="24"/>
        </w:rPr>
        <w:t xml:space="preserve">: </w:t>
      </w:r>
      <w:r w:rsidR="006A5C55" w:rsidRPr="00E34F3F">
        <w:rPr>
          <w:rFonts w:cstheme="minorHAnsi"/>
          <w:i/>
          <w:sz w:val="24"/>
          <w:szCs w:val="24"/>
        </w:rPr>
        <w:t>White</w:t>
      </w:r>
      <w:r w:rsidR="006A5C55" w:rsidRPr="001E4A46">
        <w:rPr>
          <w:rFonts w:cstheme="minorHAnsi"/>
          <w:sz w:val="24"/>
          <w:szCs w:val="24"/>
        </w:rPr>
        <w:t xml:space="preserve">, </w:t>
      </w:r>
      <w:r w:rsidR="006A5C55" w:rsidRPr="00E34F3F">
        <w:rPr>
          <w:rFonts w:cstheme="minorHAnsi"/>
          <w:i/>
          <w:sz w:val="24"/>
          <w:szCs w:val="24"/>
        </w:rPr>
        <w:t>Black</w:t>
      </w:r>
      <w:r w:rsidR="006A5C55" w:rsidRPr="001E4A46">
        <w:rPr>
          <w:rFonts w:cstheme="minorHAnsi"/>
          <w:sz w:val="24"/>
          <w:szCs w:val="24"/>
        </w:rPr>
        <w:t xml:space="preserve">, </w:t>
      </w:r>
      <w:r w:rsidR="006A5C55" w:rsidRPr="00E34F3F">
        <w:rPr>
          <w:rFonts w:cstheme="minorHAnsi"/>
          <w:i/>
          <w:sz w:val="24"/>
          <w:szCs w:val="24"/>
        </w:rPr>
        <w:t>Asian</w:t>
      </w:r>
      <w:r w:rsidR="006A5C55" w:rsidRPr="001E4A46">
        <w:rPr>
          <w:rFonts w:cstheme="minorHAnsi"/>
          <w:sz w:val="24"/>
          <w:szCs w:val="24"/>
        </w:rPr>
        <w:t xml:space="preserve">, and </w:t>
      </w:r>
      <w:r w:rsidR="006A5C55" w:rsidRPr="00E34F3F">
        <w:rPr>
          <w:rFonts w:cstheme="minorHAnsi"/>
          <w:i/>
          <w:sz w:val="24"/>
          <w:szCs w:val="24"/>
        </w:rPr>
        <w:t>American Indian</w:t>
      </w:r>
      <w:r w:rsidR="006A5C55" w:rsidRPr="001E4A46">
        <w:rPr>
          <w:rFonts w:cstheme="minorHAnsi"/>
          <w:sz w:val="24"/>
          <w:szCs w:val="24"/>
        </w:rPr>
        <w:t xml:space="preserve"> (including Alaskan Natives). </w:t>
      </w:r>
      <w:r w:rsidR="0036490C">
        <w:rPr>
          <w:rFonts w:cstheme="minorHAnsi"/>
          <w:sz w:val="24"/>
          <w:szCs w:val="24"/>
        </w:rPr>
        <w:t>Non-Hispanic i</w:t>
      </w:r>
      <w:r w:rsidR="00C867B5" w:rsidRPr="001E4A46">
        <w:rPr>
          <w:rFonts w:cstheme="minorHAnsi"/>
          <w:sz w:val="24"/>
          <w:szCs w:val="24"/>
        </w:rPr>
        <w:t>ndividuals who report two or more races, Native Hawaiian or Pacific Islander, or Some Other Race are c</w:t>
      </w:r>
      <w:r w:rsidR="0036490C">
        <w:rPr>
          <w:rFonts w:cstheme="minorHAnsi"/>
          <w:sz w:val="24"/>
          <w:szCs w:val="24"/>
        </w:rPr>
        <w:t>ombined in a sixth category (</w:t>
      </w:r>
      <w:r w:rsidR="00C867B5" w:rsidRPr="001E4A46">
        <w:rPr>
          <w:rFonts w:cstheme="minorHAnsi"/>
          <w:sz w:val="24"/>
          <w:szCs w:val="24"/>
        </w:rPr>
        <w:t>“Other”</w:t>
      </w:r>
      <w:r w:rsidR="0036490C">
        <w:rPr>
          <w:rFonts w:cstheme="minorHAnsi"/>
          <w:sz w:val="24"/>
          <w:szCs w:val="24"/>
        </w:rPr>
        <w:t>) which is available in data files from our website but not included in the online Atlas</w:t>
      </w:r>
      <w:r w:rsidR="00C867B5" w:rsidRPr="001E4A46">
        <w:rPr>
          <w:rFonts w:cstheme="minorHAnsi"/>
          <w:sz w:val="24"/>
          <w:szCs w:val="24"/>
        </w:rPr>
        <w:t>.</w:t>
      </w:r>
    </w:p>
    <w:p w14:paraId="4E8DA307" w14:textId="77777777" w:rsidR="007F2906" w:rsidRPr="007F2906" w:rsidRDefault="007F2906" w:rsidP="007F2906">
      <w:pPr>
        <w:pStyle w:val="ListParagraph"/>
        <w:spacing w:line="240" w:lineRule="auto"/>
        <w:rPr>
          <w:rFonts w:cstheme="minorHAnsi"/>
          <w:sz w:val="24"/>
          <w:szCs w:val="24"/>
        </w:rPr>
      </w:pPr>
    </w:p>
    <w:p w14:paraId="7B7CF092" w14:textId="008FE746" w:rsidR="00CA5886" w:rsidRPr="001E4A46" w:rsidRDefault="00CA5886" w:rsidP="001E4A46">
      <w:pPr>
        <w:pStyle w:val="ListParagraph"/>
        <w:numPr>
          <w:ilvl w:val="0"/>
          <w:numId w:val="8"/>
        </w:numPr>
        <w:spacing w:line="240" w:lineRule="auto"/>
        <w:rPr>
          <w:rFonts w:cstheme="minorHAnsi"/>
          <w:sz w:val="24"/>
          <w:szCs w:val="24"/>
        </w:rPr>
      </w:pPr>
      <w:r w:rsidRPr="001E4A46">
        <w:rPr>
          <w:rFonts w:cstheme="minorHAnsi"/>
          <w:b/>
          <w:sz w:val="24"/>
          <w:szCs w:val="24"/>
        </w:rPr>
        <w:t>Child Gender</w:t>
      </w:r>
      <w:r w:rsidRPr="001E4A46">
        <w:rPr>
          <w:rFonts w:cstheme="minorHAnsi"/>
          <w:sz w:val="24"/>
          <w:szCs w:val="24"/>
        </w:rPr>
        <w:t xml:space="preserve"> - We </w:t>
      </w:r>
      <w:r w:rsidR="009142C2">
        <w:rPr>
          <w:rFonts w:cstheme="minorHAnsi"/>
          <w:sz w:val="24"/>
          <w:szCs w:val="24"/>
        </w:rPr>
        <w:t>also report</w:t>
      </w:r>
      <w:r w:rsidRPr="001E4A46">
        <w:rPr>
          <w:rFonts w:cstheme="minorHAnsi"/>
          <w:sz w:val="24"/>
          <w:szCs w:val="24"/>
        </w:rPr>
        <w:t xml:space="preserve"> estim</w:t>
      </w:r>
      <w:r w:rsidR="0005717E" w:rsidRPr="001E4A46">
        <w:rPr>
          <w:rFonts w:cstheme="minorHAnsi"/>
          <w:sz w:val="24"/>
          <w:szCs w:val="24"/>
        </w:rPr>
        <w:t xml:space="preserve">ates by </w:t>
      </w:r>
      <w:r w:rsidR="009142C2">
        <w:rPr>
          <w:rFonts w:cstheme="minorHAnsi"/>
          <w:sz w:val="24"/>
          <w:szCs w:val="24"/>
        </w:rPr>
        <w:t xml:space="preserve">the child’s </w:t>
      </w:r>
      <w:r w:rsidR="0005717E" w:rsidRPr="001E4A46">
        <w:rPr>
          <w:rFonts w:cstheme="minorHAnsi"/>
          <w:sz w:val="24"/>
          <w:szCs w:val="24"/>
        </w:rPr>
        <w:t xml:space="preserve">gender </w:t>
      </w:r>
      <w:r w:rsidR="0036490C">
        <w:rPr>
          <w:rFonts w:cstheme="minorHAnsi"/>
          <w:sz w:val="24"/>
          <w:szCs w:val="24"/>
        </w:rPr>
        <w:t>(</w:t>
      </w:r>
      <w:r w:rsidR="0036490C">
        <w:rPr>
          <w:rFonts w:cstheme="minorHAnsi"/>
          <w:i/>
          <w:sz w:val="24"/>
          <w:szCs w:val="24"/>
        </w:rPr>
        <w:t xml:space="preserve">Male </w:t>
      </w:r>
      <w:r w:rsidR="0036490C">
        <w:rPr>
          <w:rFonts w:cstheme="minorHAnsi"/>
          <w:sz w:val="24"/>
          <w:szCs w:val="24"/>
        </w:rPr>
        <w:t xml:space="preserve">and </w:t>
      </w:r>
      <w:r w:rsidR="0036490C">
        <w:rPr>
          <w:rFonts w:cstheme="minorHAnsi"/>
          <w:i/>
          <w:sz w:val="24"/>
          <w:szCs w:val="24"/>
        </w:rPr>
        <w:t>Female</w:t>
      </w:r>
      <w:r w:rsidR="0036490C" w:rsidRPr="0036490C">
        <w:rPr>
          <w:rFonts w:cstheme="minorHAnsi"/>
          <w:sz w:val="24"/>
          <w:szCs w:val="24"/>
        </w:rPr>
        <w:t>)</w:t>
      </w:r>
      <w:r w:rsidR="0005717E" w:rsidRPr="001E4A46">
        <w:rPr>
          <w:rFonts w:cstheme="minorHAnsi"/>
          <w:sz w:val="24"/>
          <w:szCs w:val="24"/>
        </w:rPr>
        <w:t>.</w:t>
      </w:r>
    </w:p>
    <w:p w14:paraId="69047ED1" w14:textId="77777777" w:rsidR="009142C2" w:rsidRDefault="009142C2" w:rsidP="001E4A46">
      <w:pPr>
        <w:spacing w:line="240" w:lineRule="auto"/>
        <w:contextualSpacing/>
        <w:rPr>
          <w:rFonts w:cstheme="minorHAnsi"/>
          <w:sz w:val="24"/>
          <w:szCs w:val="24"/>
        </w:rPr>
      </w:pPr>
    </w:p>
    <w:p w14:paraId="198AEE8F" w14:textId="77777777" w:rsidR="009142C2" w:rsidRDefault="009142C2" w:rsidP="001E4A46">
      <w:pPr>
        <w:spacing w:line="240" w:lineRule="auto"/>
        <w:contextualSpacing/>
        <w:rPr>
          <w:rFonts w:cstheme="minorHAnsi"/>
          <w:sz w:val="24"/>
          <w:szCs w:val="24"/>
        </w:rPr>
      </w:pPr>
      <w:r>
        <w:rPr>
          <w:rFonts w:cstheme="minorHAnsi"/>
          <w:sz w:val="24"/>
          <w:szCs w:val="24"/>
        </w:rPr>
        <w:t>In addition to Census tract-level estimates, w</w:t>
      </w:r>
      <w:r w:rsidR="001151B8" w:rsidRPr="001E4A46">
        <w:rPr>
          <w:rFonts w:cstheme="minorHAnsi"/>
          <w:sz w:val="24"/>
          <w:szCs w:val="24"/>
        </w:rPr>
        <w:t xml:space="preserve">e also release estimates at the county and </w:t>
      </w:r>
      <w:r w:rsidR="003D615F" w:rsidRPr="001E4A46">
        <w:rPr>
          <w:rFonts w:cstheme="minorHAnsi"/>
          <w:sz w:val="24"/>
          <w:szCs w:val="24"/>
        </w:rPr>
        <w:t>commuting zone (CZ)</w:t>
      </w:r>
      <w:r w:rsidR="001151B8" w:rsidRPr="001E4A46">
        <w:rPr>
          <w:rFonts w:cstheme="minorHAnsi"/>
          <w:sz w:val="24"/>
          <w:szCs w:val="24"/>
        </w:rPr>
        <w:t xml:space="preserve"> levels, which are constructed using methods analogous to those described above. </w:t>
      </w:r>
    </w:p>
    <w:p w14:paraId="3B5349D4" w14:textId="77777777" w:rsidR="009142C2" w:rsidRDefault="009142C2" w:rsidP="001E4A46">
      <w:pPr>
        <w:spacing w:line="240" w:lineRule="auto"/>
        <w:contextualSpacing/>
        <w:rPr>
          <w:rFonts w:cstheme="minorHAnsi"/>
          <w:sz w:val="24"/>
          <w:szCs w:val="24"/>
        </w:rPr>
      </w:pPr>
    </w:p>
    <w:p w14:paraId="4C61B278" w14:textId="38E224D4" w:rsidR="00F43DBC" w:rsidRPr="001E4A46" w:rsidRDefault="001151B8" w:rsidP="00F43DBC">
      <w:pPr>
        <w:spacing w:line="240" w:lineRule="auto"/>
        <w:contextualSpacing/>
        <w:rPr>
          <w:rFonts w:cstheme="minorHAnsi"/>
          <w:sz w:val="24"/>
          <w:szCs w:val="24"/>
        </w:rPr>
      </w:pPr>
      <w:r w:rsidRPr="001E4A46">
        <w:rPr>
          <w:rFonts w:cstheme="minorHAnsi"/>
          <w:sz w:val="24"/>
          <w:szCs w:val="24"/>
        </w:rPr>
        <w:t xml:space="preserve">Because outcomes in the American Community Survey (such as college </w:t>
      </w:r>
      <w:r w:rsidR="0036490C">
        <w:rPr>
          <w:rFonts w:cstheme="minorHAnsi"/>
          <w:sz w:val="24"/>
          <w:szCs w:val="24"/>
        </w:rPr>
        <w:t>graduation rates</w:t>
      </w:r>
      <w:r w:rsidRPr="001E4A46">
        <w:rPr>
          <w:rFonts w:cstheme="minorHAnsi"/>
          <w:sz w:val="24"/>
          <w:szCs w:val="24"/>
        </w:rPr>
        <w:t xml:space="preserve">) are available for </w:t>
      </w:r>
      <w:r w:rsidR="00C7613F" w:rsidRPr="001E4A46">
        <w:rPr>
          <w:rFonts w:cstheme="minorHAnsi"/>
          <w:sz w:val="24"/>
          <w:szCs w:val="24"/>
        </w:rPr>
        <w:t xml:space="preserve">only </w:t>
      </w:r>
      <w:r w:rsidRPr="001E4A46">
        <w:rPr>
          <w:rFonts w:cstheme="minorHAnsi"/>
          <w:sz w:val="24"/>
          <w:szCs w:val="24"/>
        </w:rPr>
        <w:t>a small</w:t>
      </w:r>
      <w:r w:rsidR="0036490C">
        <w:rPr>
          <w:rFonts w:cstheme="minorHAnsi"/>
          <w:sz w:val="24"/>
          <w:szCs w:val="24"/>
        </w:rPr>
        <w:t>er</w:t>
      </w:r>
      <w:r w:rsidRPr="001E4A46">
        <w:rPr>
          <w:rFonts w:cstheme="minorHAnsi"/>
          <w:sz w:val="24"/>
          <w:szCs w:val="24"/>
        </w:rPr>
        <w:t xml:space="preserve"> sample of individuals, we </w:t>
      </w:r>
      <w:r w:rsidR="00C7613F" w:rsidRPr="001E4A46">
        <w:rPr>
          <w:rFonts w:cstheme="minorHAnsi"/>
          <w:sz w:val="24"/>
          <w:szCs w:val="24"/>
        </w:rPr>
        <w:t>report our estimates for these outcomes at the county and CZ levels</w:t>
      </w:r>
      <w:r w:rsidR="0036490C">
        <w:rPr>
          <w:rFonts w:cstheme="minorHAnsi"/>
          <w:sz w:val="24"/>
          <w:szCs w:val="24"/>
        </w:rPr>
        <w:t xml:space="preserve"> only</w:t>
      </w:r>
      <w:r w:rsidR="00C7613F" w:rsidRPr="001E4A46">
        <w:rPr>
          <w:rFonts w:cstheme="minorHAnsi"/>
          <w:sz w:val="24"/>
          <w:szCs w:val="24"/>
        </w:rPr>
        <w:t xml:space="preserve">. </w:t>
      </w:r>
      <w:r w:rsidR="009142C2">
        <w:rPr>
          <w:rFonts w:cstheme="minorHAnsi"/>
          <w:sz w:val="24"/>
          <w:szCs w:val="24"/>
        </w:rPr>
        <w:t>We also suppress certain estimates which are measured with substantial error at the tract level, such as the fraction of individuals who reach the top 1% of the income distribution and incarceration rates for women.</w:t>
      </w:r>
      <w:r w:rsidR="00124C0C">
        <w:rPr>
          <w:rFonts w:cstheme="minorHAnsi"/>
          <w:sz w:val="24"/>
          <w:szCs w:val="24"/>
        </w:rPr>
        <w:t xml:space="preserve"> </w:t>
      </w:r>
      <w:r w:rsidR="00F43DBC">
        <w:rPr>
          <w:rFonts w:cstheme="minorHAnsi"/>
          <w:sz w:val="24"/>
          <w:szCs w:val="24"/>
        </w:rPr>
        <w:t>Finally, in each tract and county, we suppress estimates for subgroups with</w:t>
      </w:r>
      <w:r w:rsidR="000718E5">
        <w:rPr>
          <w:rFonts w:cstheme="minorHAnsi"/>
          <w:sz w:val="24"/>
          <w:szCs w:val="24"/>
        </w:rPr>
        <w:t xml:space="preserve"> very few children. For example</w:t>
      </w:r>
      <w:r w:rsidR="00F43DBC">
        <w:rPr>
          <w:rFonts w:cstheme="minorHAnsi"/>
          <w:sz w:val="24"/>
          <w:szCs w:val="24"/>
        </w:rPr>
        <w:t xml:space="preserve">, we suppress estimates for </w:t>
      </w:r>
      <w:r w:rsidR="000718E5">
        <w:rPr>
          <w:rFonts w:cstheme="minorHAnsi"/>
          <w:sz w:val="24"/>
          <w:szCs w:val="24"/>
        </w:rPr>
        <w:t xml:space="preserve">children with low-income parents </w:t>
      </w:r>
      <w:r w:rsidR="00F43DBC">
        <w:rPr>
          <w:rFonts w:cstheme="minorHAnsi"/>
          <w:sz w:val="24"/>
          <w:szCs w:val="24"/>
        </w:rPr>
        <w:t xml:space="preserve">in places </w:t>
      </w:r>
      <w:r w:rsidR="007A7E5D">
        <w:rPr>
          <w:rFonts w:cstheme="minorHAnsi"/>
          <w:sz w:val="24"/>
          <w:szCs w:val="24"/>
        </w:rPr>
        <w:t>that have</w:t>
      </w:r>
      <w:r w:rsidR="00C54A02">
        <w:rPr>
          <w:rFonts w:cstheme="minorHAnsi"/>
          <w:sz w:val="24"/>
          <w:szCs w:val="24"/>
        </w:rPr>
        <w:t xml:space="preserve"> fewer than five</w:t>
      </w:r>
      <w:r w:rsidR="00F43DBC">
        <w:rPr>
          <w:rFonts w:cstheme="minorHAnsi"/>
          <w:sz w:val="24"/>
          <w:szCs w:val="24"/>
        </w:rPr>
        <w:t xml:space="preserve"> children with </w:t>
      </w:r>
      <w:r w:rsidR="000718E5">
        <w:rPr>
          <w:rFonts w:cstheme="minorHAnsi"/>
          <w:sz w:val="24"/>
          <w:szCs w:val="24"/>
        </w:rPr>
        <w:t xml:space="preserve">parental </w:t>
      </w:r>
      <w:r w:rsidR="00F43DBC">
        <w:rPr>
          <w:rFonts w:cstheme="minorHAnsi"/>
          <w:sz w:val="24"/>
          <w:szCs w:val="24"/>
        </w:rPr>
        <w:t>income below the national median.</w:t>
      </w:r>
    </w:p>
    <w:p w14:paraId="38CDD2FF" w14:textId="2D9ED2CE" w:rsidR="00BB336E" w:rsidRPr="001E4A46" w:rsidRDefault="00BB336E" w:rsidP="001E4A46">
      <w:pPr>
        <w:spacing w:line="240" w:lineRule="auto"/>
        <w:contextualSpacing/>
        <w:rPr>
          <w:rFonts w:cstheme="minorHAnsi"/>
          <w:sz w:val="24"/>
          <w:szCs w:val="24"/>
        </w:rPr>
      </w:pPr>
    </w:p>
    <w:p w14:paraId="71E67F04" w14:textId="1C0822BE" w:rsidR="00A3416B" w:rsidRDefault="009142C2" w:rsidP="00FD69B7">
      <w:pPr>
        <w:spacing w:line="240" w:lineRule="auto"/>
        <w:contextualSpacing/>
        <w:rPr>
          <w:rFonts w:cstheme="minorHAnsi"/>
          <w:sz w:val="24"/>
          <w:szCs w:val="24"/>
        </w:rPr>
      </w:pPr>
      <w:r>
        <w:rPr>
          <w:rFonts w:cstheme="minorHAnsi"/>
          <w:sz w:val="24"/>
          <w:szCs w:val="24"/>
        </w:rPr>
        <w:t>A list of a</w:t>
      </w:r>
      <w:r w:rsidR="0036490C">
        <w:rPr>
          <w:rFonts w:cstheme="minorHAnsi"/>
          <w:sz w:val="24"/>
          <w:szCs w:val="24"/>
        </w:rPr>
        <w:t xml:space="preserve">ll </w:t>
      </w:r>
      <w:r>
        <w:rPr>
          <w:rFonts w:cstheme="minorHAnsi"/>
          <w:sz w:val="24"/>
          <w:szCs w:val="24"/>
        </w:rPr>
        <w:t>the variables</w:t>
      </w:r>
      <w:r w:rsidR="0036490C">
        <w:rPr>
          <w:rFonts w:cstheme="minorHAnsi"/>
          <w:sz w:val="24"/>
          <w:szCs w:val="24"/>
        </w:rPr>
        <w:t xml:space="preserve"> </w:t>
      </w:r>
      <w:r w:rsidR="007F600A" w:rsidRPr="001E4A46">
        <w:rPr>
          <w:rFonts w:cstheme="minorHAnsi"/>
          <w:sz w:val="24"/>
          <w:szCs w:val="24"/>
        </w:rPr>
        <w:t xml:space="preserve">available </w:t>
      </w:r>
      <w:r w:rsidR="00A44D4F" w:rsidRPr="001E4A46">
        <w:rPr>
          <w:rFonts w:cstheme="minorHAnsi"/>
          <w:sz w:val="24"/>
          <w:szCs w:val="24"/>
        </w:rPr>
        <w:t xml:space="preserve">in the Opportunity Atlas </w:t>
      </w:r>
      <w:r w:rsidR="00191BBE">
        <w:rPr>
          <w:rFonts w:cstheme="minorHAnsi"/>
          <w:sz w:val="24"/>
          <w:szCs w:val="24"/>
        </w:rPr>
        <w:t xml:space="preserve">– as well as </w:t>
      </w:r>
      <w:r>
        <w:rPr>
          <w:rFonts w:cstheme="minorHAnsi"/>
          <w:sz w:val="24"/>
          <w:szCs w:val="24"/>
        </w:rPr>
        <w:t>detailed</w:t>
      </w:r>
      <w:r w:rsidR="00191BBE">
        <w:rPr>
          <w:rFonts w:cstheme="minorHAnsi"/>
          <w:sz w:val="24"/>
          <w:szCs w:val="24"/>
        </w:rPr>
        <w:t xml:space="preserve"> variable </w:t>
      </w:r>
      <w:r>
        <w:rPr>
          <w:rFonts w:cstheme="minorHAnsi"/>
          <w:sz w:val="24"/>
          <w:szCs w:val="24"/>
        </w:rPr>
        <w:t xml:space="preserve">definitions are available in Section II of the </w:t>
      </w:r>
      <w:hyperlink r:id="rId12" w:history="1">
        <w:r w:rsidRPr="00043118">
          <w:rPr>
            <w:rStyle w:val="Hyperlink"/>
            <w:rFonts w:cstheme="minorHAnsi"/>
            <w:sz w:val="24"/>
            <w:szCs w:val="24"/>
          </w:rPr>
          <w:t>research paper</w:t>
        </w:r>
      </w:hyperlink>
      <w:r w:rsidR="00A3416B">
        <w:rPr>
          <w:rFonts w:cstheme="minorHAnsi"/>
          <w:sz w:val="24"/>
          <w:szCs w:val="24"/>
        </w:rPr>
        <w:t xml:space="preserve"> and on this </w:t>
      </w:r>
      <w:hyperlink r:id="rId13" w:history="1">
        <w:r w:rsidR="00A3416B" w:rsidRPr="00A3416B">
          <w:rPr>
            <w:rStyle w:val="Hyperlink"/>
            <w:rFonts w:cstheme="minorHAnsi"/>
            <w:sz w:val="24"/>
            <w:szCs w:val="24"/>
          </w:rPr>
          <w:t>data page</w:t>
        </w:r>
      </w:hyperlink>
      <w:r w:rsidR="00A3416B">
        <w:rPr>
          <w:rFonts w:cstheme="minorHAnsi"/>
          <w:sz w:val="24"/>
          <w:szCs w:val="24"/>
        </w:rPr>
        <w:t xml:space="preserve">. </w:t>
      </w:r>
    </w:p>
    <w:p w14:paraId="725B92D0" w14:textId="1D96D2AB" w:rsidR="0062654D" w:rsidRDefault="0062654D" w:rsidP="00FD69B7">
      <w:pPr>
        <w:spacing w:line="240" w:lineRule="auto"/>
        <w:contextualSpacing/>
        <w:rPr>
          <w:rFonts w:cstheme="minorHAnsi"/>
          <w:sz w:val="24"/>
          <w:szCs w:val="24"/>
        </w:rPr>
      </w:pPr>
    </w:p>
    <w:p w14:paraId="0445B275" w14:textId="5EE3D72B" w:rsidR="005D3510" w:rsidRPr="00FD69B7" w:rsidRDefault="0062654D" w:rsidP="00FD69B7">
      <w:pPr>
        <w:spacing w:line="240" w:lineRule="auto"/>
        <w:contextualSpacing/>
        <w:rPr>
          <w:rFonts w:cstheme="minorHAnsi"/>
          <w:sz w:val="24"/>
          <w:szCs w:val="24"/>
        </w:rPr>
      </w:pPr>
      <w:r>
        <w:rPr>
          <w:rFonts w:cstheme="minorHAnsi"/>
          <w:sz w:val="24"/>
          <w:szCs w:val="24"/>
        </w:rPr>
        <w:t xml:space="preserve">For further details on the methods, please refer to Section III of the </w:t>
      </w:r>
      <w:hyperlink r:id="rId14" w:history="1">
        <w:r w:rsidRPr="00043118">
          <w:rPr>
            <w:rStyle w:val="Hyperlink"/>
            <w:rFonts w:cstheme="minorHAnsi"/>
            <w:sz w:val="24"/>
            <w:szCs w:val="24"/>
          </w:rPr>
          <w:t>paper</w:t>
        </w:r>
      </w:hyperlink>
      <w:r w:rsidR="00564546">
        <w:rPr>
          <w:rFonts w:cstheme="minorHAnsi"/>
          <w:sz w:val="24"/>
          <w:szCs w:val="24"/>
        </w:rPr>
        <w:t xml:space="preserve"> or the</w:t>
      </w:r>
      <w:r w:rsidR="007568DC">
        <w:rPr>
          <w:rFonts w:cstheme="minorHAnsi"/>
          <w:sz w:val="24"/>
          <w:szCs w:val="24"/>
        </w:rPr>
        <w:t>se</w:t>
      </w:r>
      <w:r w:rsidR="00564546">
        <w:rPr>
          <w:rFonts w:cstheme="minorHAnsi"/>
          <w:sz w:val="24"/>
          <w:szCs w:val="24"/>
        </w:rPr>
        <w:t xml:space="preserve"> </w:t>
      </w:r>
      <w:hyperlink r:id="rId15" w:history="1">
        <w:r w:rsidR="00564546" w:rsidRPr="00401C8F">
          <w:rPr>
            <w:rStyle w:val="Hyperlink"/>
            <w:rFonts w:cstheme="minorHAnsi"/>
            <w:sz w:val="24"/>
            <w:szCs w:val="24"/>
          </w:rPr>
          <w:t>slides</w:t>
        </w:r>
      </w:hyperlink>
      <w:r>
        <w:rPr>
          <w:rFonts w:cstheme="minorHAnsi"/>
          <w:sz w:val="24"/>
          <w:szCs w:val="24"/>
        </w:rPr>
        <w:t>.</w:t>
      </w:r>
    </w:p>
    <w:sectPr w:rsidR="005D3510" w:rsidRPr="00FD6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77A7" w14:textId="77777777" w:rsidR="004628C9" w:rsidRDefault="004628C9" w:rsidP="00107C67">
      <w:pPr>
        <w:spacing w:after="0" w:line="240" w:lineRule="auto"/>
      </w:pPr>
      <w:r>
        <w:separator/>
      </w:r>
    </w:p>
  </w:endnote>
  <w:endnote w:type="continuationSeparator" w:id="0">
    <w:p w14:paraId="50203F22" w14:textId="77777777" w:rsidR="004628C9" w:rsidRDefault="004628C9" w:rsidP="0010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D844" w14:textId="77777777" w:rsidR="004628C9" w:rsidRDefault="004628C9" w:rsidP="00107C67">
      <w:pPr>
        <w:spacing w:after="0" w:line="240" w:lineRule="auto"/>
      </w:pPr>
      <w:r>
        <w:separator/>
      </w:r>
    </w:p>
  </w:footnote>
  <w:footnote w:type="continuationSeparator" w:id="0">
    <w:p w14:paraId="6B48512A" w14:textId="77777777" w:rsidR="004628C9" w:rsidRDefault="004628C9" w:rsidP="0010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0EE5"/>
    <w:multiLevelType w:val="hybridMultilevel"/>
    <w:tmpl w:val="9ACC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40125"/>
    <w:multiLevelType w:val="hybridMultilevel"/>
    <w:tmpl w:val="A278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C0F67"/>
    <w:multiLevelType w:val="hybridMultilevel"/>
    <w:tmpl w:val="3D3215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23748"/>
    <w:multiLevelType w:val="hybridMultilevel"/>
    <w:tmpl w:val="E96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2528F"/>
    <w:multiLevelType w:val="hybridMultilevel"/>
    <w:tmpl w:val="177C32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934F97"/>
    <w:multiLevelType w:val="hybridMultilevel"/>
    <w:tmpl w:val="4078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F3540"/>
    <w:multiLevelType w:val="hybridMultilevel"/>
    <w:tmpl w:val="2FD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56E64"/>
    <w:multiLevelType w:val="hybridMultilevel"/>
    <w:tmpl w:val="141248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EF0134"/>
    <w:multiLevelType w:val="hybridMultilevel"/>
    <w:tmpl w:val="DCB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326F8"/>
    <w:multiLevelType w:val="hybridMultilevel"/>
    <w:tmpl w:val="8A566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7"/>
  </w:num>
  <w:num w:numId="6">
    <w:abstractNumId w:val="0"/>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D"/>
    <w:rsid w:val="00007511"/>
    <w:rsid w:val="0002742E"/>
    <w:rsid w:val="00033104"/>
    <w:rsid w:val="00043118"/>
    <w:rsid w:val="00047E41"/>
    <w:rsid w:val="00054F99"/>
    <w:rsid w:val="00055FD9"/>
    <w:rsid w:val="0005717E"/>
    <w:rsid w:val="00070407"/>
    <w:rsid w:val="0007056C"/>
    <w:rsid w:val="000718E5"/>
    <w:rsid w:val="00071E8A"/>
    <w:rsid w:val="00094FB8"/>
    <w:rsid w:val="00097E79"/>
    <w:rsid w:val="000B1BC0"/>
    <w:rsid w:val="000C016B"/>
    <w:rsid w:val="000E0499"/>
    <w:rsid w:val="000F10B9"/>
    <w:rsid w:val="000F1569"/>
    <w:rsid w:val="00103D78"/>
    <w:rsid w:val="00107C67"/>
    <w:rsid w:val="00113C33"/>
    <w:rsid w:val="001151B8"/>
    <w:rsid w:val="00124C0C"/>
    <w:rsid w:val="001319B1"/>
    <w:rsid w:val="00134135"/>
    <w:rsid w:val="001402A2"/>
    <w:rsid w:val="00140910"/>
    <w:rsid w:val="00143D7A"/>
    <w:rsid w:val="00144721"/>
    <w:rsid w:val="00153ABC"/>
    <w:rsid w:val="0015776A"/>
    <w:rsid w:val="00160536"/>
    <w:rsid w:val="001628BC"/>
    <w:rsid w:val="00166D1D"/>
    <w:rsid w:val="00167DDE"/>
    <w:rsid w:val="00176AF1"/>
    <w:rsid w:val="00191BBE"/>
    <w:rsid w:val="001A4721"/>
    <w:rsid w:val="001B4812"/>
    <w:rsid w:val="001C14C7"/>
    <w:rsid w:val="001C207A"/>
    <w:rsid w:val="001E0A80"/>
    <w:rsid w:val="001E4A46"/>
    <w:rsid w:val="001E7A67"/>
    <w:rsid w:val="001F100E"/>
    <w:rsid w:val="00203B61"/>
    <w:rsid w:val="002161E8"/>
    <w:rsid w:val="00221E23"/>
    <w:rsid w:val="00227BA5"/>
    <w:rsid w:val="002314DB"/>
    <w:rsid w:val="00244A36"/>
    <w:rsid w:val="00244E14"/>
    <w:rsid w:val="00263367"/>
    <w:rsid w:val="00281C2D"/>
    <w:rsid w:val="0028227D"/>
    <w:rsid w:val="0029726F"/>
    <w:rsid w:val="002B008E"/>
    <w:rsid w:val="002B226F"/>
    <w:rsid w:val="002B363E"/>
    <w:rsid w:val="002B66D4"/>
    <w:rsid w:val="002B70A7"/>
    <w:rsid w:val="002B7780"/>
    <w:rsid w:val="002C4D4D"/>
    <w:rsid w:val="002D5F93"/>
    <w:rsid w:val="002E19E4"/>
    <w:rsid w:val="00305A6D"/>
    <w:rsid w:val="00306CB1"/>
    <w:rsid w:val="00310AB8"/>
    <w:rsid w:val="00310D44"/>
    <w:rsid w:val="00325E4F"/>
    <w:rsid w:val="003267C3"/>
    <w:rsid w:val="00333843"/>
    <w:rsid w:val="00335B45"/>
    <w:rsid w:val="00357EB3"/>
    <w:rsid w:val="0036490C"/>
    <w:rsid w:val="00382EBC"/>
    <w:rsid w:val="0039008D"/>
    <w:rsid w:val="003917F8"/>
    <w:rsid w:val="00393EBA"/>
    <w:rsid w:val="003A09D6"/>
    <w:rsid w:val="003A67D0"/>
    <w:rsid w:val="003B3835"/>
    <w:rsid w:val="003D615F"/>
    <w:rsid w:val="003E29A2"/>
    <w:rsid w:val="003E75B9"/>
    <w:rsid w:val="003F59FA"/>
    <w:rsid w:val="003F7AD6"/>
    <w:rsid w:val="00400658"/>
    <w:rsid w:val="00401C8F"/>
    <w:rsid w:val="00402D06"/>
    <w:rsid w:val="00443F99"/>
    <w:rsid w:val="00447CBE"/>
    <w:rsid w:val="00451EEC"/>
    <w:rsid w:val="00451FDD"/>
    <w:rsid w:val="004570CA"/>
    <w:rsid w:val="00460C12"/>
    <w:rsid w:val="004628C9"/>
    <w:rsid w:val="00470316"/>
    <w:rsid w:val="00481B55"/>
    <w:rsid w:val="00482660"/>
    <w:rsid w:val="00484169"/>
    <w:rsid w:val="00484D7A"/>
    <w:rsid w:val="00486CC0"/>
    <w:rsid w:val="004946D8"/>
    <w:rsid w:val="00494A96"/>
    <w:rsid w:val="004A6D68"/>
    <w:rsid w:val="004D2CB3"/>
    <w:rsid w:val="004D49BB"/>
    <w:rsid w:val="00507C0F"/>
    <w:rsid w:val="00512C3A"/>
    <w:rsid w:val="00512EDC"/>
    <w:rsid w:val="005161B0"/>
    <w:rsid w:val="00534560"/>
    <w:rsid w:val="00536043"/>
    <w:rsid w:val="00545E2A"/>
    <w:rsid w:val="00564546"/>
    <w:rsid w:val="00572A3B"/>
    <w:rsid w:val="005868E1"/>
    <w:rsid w:val="005B72BA"/>
    <w:rsid w:val="005D0611"/>
    <w:rsid w:val="005D3510"/>
    <w:rsid w:val="005D62CB"/>
    <w:rsid w:val="005D6F45"/>
    <w:rsid w:val="005E4E0C"/>
    <w:rsid w:val="005F1933"/>
    <w:rsid w:val="005F71AC"/>
    <w:rsid w:val="005F75C7"/>
    <w:rsid w:val="00611332"/>
    <w:rsid w:val="00616055"/>
    <w:rsid w:val="006247E0"/>
    <w:rsid w:val="0062654D"/>
    <w:rsid w:val="00626FF6"/>
    <w:rsid w:val="00632699"/>
    <w:rsid w:val="00633223"/>
    <w:rsid w:val="006515A4"/>
    <w:rsid w:val="0066054F"/>
    <w:rsid w:val="00675216"/>
    <w:rsid w:val="006A5C55"/>
    <w:rsid w:val="006B3F29"/>
    <w:rsid w:val="006C6886"/>
    <w:rsid w:val="006D3627"/>
    <w:rsid w:val="006E044F"/>
    <w:rsid w:val="006E3EE0"/>
    <w:rsid w:val="006F7654"/>
    <w:rsid w:val="007038C3"/>
    <w:rsid w:val="007060DD"/>
    <w:rsid w:val="00731F84"/>
    <w:rsid w:val="00734CD4"/>
    <w:rsid w:val="00745BDD"/>
    <w:rsid w:val="00750FD5"/>
    <w:rsid w:val="007568DC"/>
    <w:rsid w:val="00757464"/>
    <w:rsid w:val="00761177"/>
    <w:rsid w:val="00770583"/>
    <w:rsid w:val="00772D04"/>
    <w:rsid w:val="007733B4"/>
    <w:rsid w:val="00776F81"/>
    <w:rsid w:val="007975A4"/>
    <w:rsid w:val="007A0E8B"/>
    <w:rsid w:val="007A293C"/>
    <w:rsid w:val="007A7E5D"/>
    <w:rsid w:val="007C3F95"/>
    <w:rsid w:val="007C5462"/>
    <w:rsid w:val="007D3205"/>
    <w:rsid w:val="007E3A8C"/>
    <w:rsid w:val="007E73FC"/>
    <w:rsid w:val="007F2906"/>
    <w:rsid w:val="007F600A"/>
    <w:rsid w:val="00802164"/>
    <w:rsid w:val="0080784E"/>
    <w:rsid w:val="008268E6"/>
    <w:rsid w:val="00835391"/>
    <w:rsid w:val="00837015"/>
    <w:rsid w:val="00850439"/>
    <w:rsid w:val="00853ED9"/>
    <w:rsid w:val="008543A6"/>
    <w:rsid w:val="0086610D"/>
    <w:rsid w:val="00877EC7"/>
    <w:rsid w:val="008855AB"/>
    <w:rsid w:val="00890B38"/>
    <w:rsid w:val="00896EA7"/>
    <w:rsid w:val="008A2B55"/>
    <w:rsid w:val="008B28F4"/>
    <w:rsid w:val="008C0354"/>
    <w:rsid w:val="008C1450"/>
    <w:rsid w:val="008D7DA3"/>
    <w:rsid w:val="008E4347"/>
    <w:rsid w:val="00911B65"/>
    <w:rsid w:val="009142C2"/>
    <w:rsid w:val="00923A26"/>
    <w:rsid w:val="009301C6"/>
    <w:rsid w:val="00936E12"/>
    <w:rsid w:val="00943B1F"/>
    <w:rsid w:val="009514B6"/>
    <w:rsid w:val="009578B8"/>
    <w:rsid w:val="00962979"/>
    <w:rsid w:val="00965138"/>
    <w:rsid w:val="00994BD1"/>
    <w:rsid w:val="00995E82"/>
    <w:rsid w:val="009C2D24"/>
    <w:rsid w:val="009D220B"/>
    <w:rsid w:val="009D40CA"/>
    <w:rsid w:val="009D7320"/>
    <w:rsid w:val="009E4544"/>
    <w:rsid w:val="009F0AD8"/>
    <w:rsid w:val="00A00162"/>
    <w:rsid w:val="00A03151"/>
    <w:rsid w:val="00A15F2B"/>
    <w:rsid w:val="00A3416B"/>
    <w:rsid w:val="00A37AC2"/>
    <w:rsid w:val="00A44D4F"/>
    <w:rsid w:val="00A52FC6"/>
    <w:rsid w:val="00A56479"/>
    <w:rsid w:val="00A67951"/>
    <w:rsid w:val="00A741C4"/>
    <w:rsid w:val="00A87B6F"/>
    <w:rsid w:val="00A90609"/>
    <w:rsid w:val="00AA39C3"/>
    <w:rsid w:val="00AA4A44"/>
    <w:rsid w:val="00AD5E51"/>
    <w:rsid w:val="00AE2975"/>
    <w:rsid w:val="00B0446E"/>
    <w:rsid w:val="00B06B7D"/>
    <w:rsid w:val="00B35FA8"/>
    <w:rsid w:val="00B9220F"/>
    <w:rsid w:val="00B92D59"/>
    <w:rsid w:val="00BA1890"/>
    <w:rsid w:val="00BB0301"/>
    <w:rsid w:val="00BB336E"/>
    <w:rsid w:val="00BD0961"/>
    <w:rsid w:val="00BD129F"/>
    <w:rsid w:val="00BE5F76"/>
    <w:rsid w:val="00C007C4"/>
    <w:rsid w:val="00C070EE"/>
    <w:rsid w:val="00C11438"/>
    <w:rsid w:val="00C15823"/>
    <w:rsid w:val="00C43B1C"/>
    <w:rsid w:val="00C4414F"/>
    <w:rsid w:val="00C50F32"/>
    <w:rsid w:val="00C54A02"/>
    <w:rsid w:val="00C61DED"/>
    <w:rsid w:val="00C646EB"/>
    <w:rsid w:val="00C72E23"/>
    <w:rsid w:val="00C742F7"/>
    <w:rsid w:val="00C74F18"/>
    <w:rsid w:val="00C7613F"/>
    <w:rsid w:val="00C854F7"/>
    <w:rsid w:val="00C867B5"/>
    <w:rsid w:val="00C94A2D"/>
    <w:rsid w:val="00CA5886"/>
    <w:rsid w:val="00CC5084"/>
    <w:rsid w:val="00CD29D2"/>
    <w:rsid w:val="00CD4F78"/>
    <w:rsid w:val="00CD5F9F"/>
    <w:rsid w:val="00CE26BD"/>
    <w:rsid w:val="00CE2BDA"/>
    <w:rsid w:val="00D05149"/>
    <w:rsid w:val="00D11323"/>
    <w:rsid w:val="00D153A4"/>
    <w:rsid w:val="00D2285E"/>
    <w:rsid w:val="00D24CBF"/>
    <w:rsid w:val="00D524BC"/>
    <w:rsid w:val="00D675AE"/>
    <w:rsid w:val="00D81615"/>
    <w:rsid w:val="00D91D7A"/>
    <w:rsid w:val="00D9242E"/>
    <w:rsid w:val="00D938C5"/>
    <w:rsid w:val="00DB52B2"/>
    <w:rsid w:val="00DB78E5"/>
    <w:rsid w:val="00DC5945"/>
    <w:rsid w:val="00DD2D97"/>
    <w:rsid w:val="00DE237E"/>
    <w:rsid w:val="00DE305D"/>
    <w:rsid w:val="00DF1046"/>
    <w:rsid w:val="00DF73F4"/>
    <w:rsid w:val="00E2236B"/>
    <w:rsid w:val="00E251FD"/>
    <w:rsid w:val="00E2562D"/>
    <w:rsid w:val="00E27D3A"/>
    <w:rsid w:val="00E34F3F"/>
    <w:rsid w:val="00E3574F"/>
    <w:rsid w:val="00E36AD6"/>
    <w:rsid w:val="00E4524B"/>
    <w:rsid w:val="00E50BD2"/>
    <w:rsid w:val="00E62F7D"/>
    <w:rsid w:val="00E64489"/>
    <w:rsid w:val="00E64D8E"/>
    <w:rsid w:val="00E80B94"/>
    <w:rsid w:val="00EA5699"/>
    <w:rsid w:val="00EA71F9"/>
    <w:rsid w:val="00EC27D3"/>
    <w:rsid w:val="00EC4A0A"/>
    <w:rsid w:val="00EE489C"/>
    <w:rsid w:val="00EF2E9C"/>
    <w:rsid w:val="00F21E34"/>
    <w:rsid w:val="00F2329C"/>
    <w:rsid w:val="00F302B2"/>
    <w:rsid w:val="00F304CF"/>
    <w:rsid w:val="00F404D7"/>
    <w:rsid w:val="00F43DBC"/>
    <w:rsid w:val="00F44FE2"/>
    <w:rsid w:val="00F520AA"/>
    <w:rsid w:val="00F5448E"/>
    <w:rsid w:val="00FA7FFD"/>
    <w:rsid w:val="00FB12EF"/>
    <w:rsid w:val="00FD69B7"/>
    <w:rsid w:val="00FD6C79"/>
    <w:rsid w:val="00FD6CDD"/>
    <w:rsid w:val="00FE385E"/>
    <w:rsid w:val="00FE657F"/>
    <w:rsid w:val="00FF6E02"/>
    <w:rsid w:val="00FF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679A"/>
  <w15:docId w15:val="{D337E0E5-B3C0-460D-A863-680AFF88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DD"/>
    <w:pPr>
      <w:ind w:left="720"/>
      <w:contextualSpacing/>
    </w:pPr>
  </w:style>
  <w:style w:type="character" w:styleId="CommentReference">
    <w:name w:val="annotation reference"/>
    <w:basedOn w:val="DefaultParagraphFont"/>
    <w:uiPriority w:val="99"/>
    <w:semiHidden/>
    <w:unhideWhenUsed/>
    <w:rsid w:val="006E044F"/>
    <w:rPr>
      <w:sz w:val="16"/>
      <w:szCs w:val="16"/>
    </w:rPr>
  </w:style>
  <w:style w:type="paragraph" w:styleId="CommentText">
    <w:name w:val="annotation text"/>
    <w:basedOn w:val="Normal"/>
    <w:link w:val="CommentTextChar"/>
    <w:uiPriority w:val="99"/>
    <w:semiHidden/>
    <w:unhideWhenUsed/>
    <w:rsid w:val="006E044F"/>
    <w:pPr>
      <w:spacing w:line="240" w:lineRule="auto"/>
    </w:pPr>
    <w:rPr>
      <w:sz w:val="20"/>
      <w:szCs w:val="20"/>
    </w:rPr>
  </w:style>
  <w:style w:type="character" w:customStyle="1" w:styleId="CommentTextChar">
    <w:name w:val="Comment Text Char"/>
    <w:basedOn w:val="DefaultParagraphFont"/>
    <w:link w:val="CommentText"/>
    <w:uiPriority w:val="99"/>
    <w:semiHidden/>
    <w:rsid w:val="006E044F"/>
    <w:rPr>
      <w:sz w:val="20"/>
      <w:szCs w:val="20"/>
    </w:rPr>
  </w:style>
  <w:style w:type="paragraph" w:styleId="CommentSubject">
    <w:name w:val="annotation subject"/>
    <w:basedOn w:val="CommentText"/>
    <w:next w:val="CommentText"/>
    <w:link w:val="CommentSubjectChar"/>
    <w:uiPriority w:val="99"/>
    <w:semiHidden/>
    <w:unhideWhenUsed/>
    <w:rsid w:val="006E044F"/>
    <w:rPr>
      <w:b/>
      <w:bCs/>
    </w:rPr>
  </w:style>
  <w:style w:type="character" w:customStyle="1" w:styleId="CommentSubjectChar">
    <w:name w:val="Comment Subject Char"/>
    <w:basedOn w:val="CommentTextChar"/>
    <w:link w:val="CommentSubject"/>
    <w:uiPriority w:val="99"/>
    <w:semiHidden/>
    <w:rsid w:val="006E044F"/>
    <w:rPr>
      <w:b/>
      <w:bCs/>
      <w:sz w:val="20"/>
      <w:szCs w:val="20"/>
    </w:rPr>
  </w:style>
  <w:style w:type="paragraph" w:styleId="BalloonText">
    <w:name w:val="Balloon Text"/>
    <w:basedOn w:val="Normal"/>
    <w:link w:val="BalloonTextChar"/>
    <w:uiPriority w:val="99"/>
    <w:semiHidden/>
    <w:unhideWhenUsed/>
    <w:rsid w:val="006E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4F"/>
    <w:rPr>
      <w:rFonts w:ascii="Segoe UI" w:hAnsi="Segoe UI" w:cs="Segoe UI"/>
      <w:sz w:val="18"/>
      <w:szCs w:val="18"/>
    </w:rPr>
  </w:style>
  <w:style w:type="character" w:styleId="Hyperlink">
    <w:name w:val="Hyperlink"/>
    <w:basedOn w:val="DefaultParagraphFont"/>
    <w:uiPriority w:val="99"/>
    <w:unhideWhenUsed/>
    <w:rsid w:val="00FE385E"/>
    <w:rPr>
      <w:color w:val="0563C1" w:themeColor="hyperlink"/>
      <w:u w:val="single"/>
    </w:rPr>
  </w:style>
  <w:style w:type="paragraph" w:styleId="Header">
    <w:name w:val="header"/>
    <w:basedOn w:val="Normal"/>
    <w:link w:val="HeaderChar"/>
    <w:uiPriority w:val="99"/>
    <w:unhideWhenUsed/>
    <w:rsid w:val="0010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C67"/>
  </w:style>
  <w:style w:type="paragraph" w:styleId="Footer">
    <w:name w:val="footer"/>
    <w:basedOn w:val="Normal"/>
    <w:link w:val="FooterChar"/>
    <w:uiPriority w:val="99"/>
    <w:unhideWhenUsed/>
    <w:rsid w:val="0010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C67"/>
  </w:style>
  <w:style w:type="character" w:customStyle="1" w:styleId="UnresolvedMention1">
    <w:name w:val="Unresolved Mention1"/>
    <w:basedOn w:val="DefaultParagraphFont"/>
    <w:uiPriority w:val="99"/>
    <w:semiHidden/>
    <w:unhideWhenUsed/>
    <w:rsid w:val="00043118"/>
    <w:rPr>
      <w:color w:val="808080"/>
      <w:shd w:val="clear" w:color="auto" w:fill="E6E6E6"/>
    </w:rPr>
  </w:style>
  <w:style w:type="character" w:styleId="FollowedHyperlink">
    <w:name w:val="FollowedHyperlink"/>
    <w:basedOn w:val="DefaultParagraphFont"/>
    <w:uiPriority w:val="99"/>
    <w:semiHidden/>
    <w:unhideWhenUsed/>
    <w:rsid w:val="000F1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portunityinsights.org/paper/the-effects-of-exposure-to-better-neighborhoods-on-children-new-evidence-from-the-moving-to-opportunity-experiment/," TargetMode="External"/><Relationship Id="rId13" Type="http://schemas.openxmlformats.org/officeDocument/2006/relationships/hyperlink" Target="https://opportunityinsights.org/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portunityinsights.org/wp-content/uploads/2018/10/atlas_pap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portunityinsights.org/wp-content/uploads/2018/03/mobility_geo.pdf" TargetMode="External"/><Relationship Id="rId5" Type="http://schemas.openxmlformats.org/officeDocument/2006/relationships/webSettings" Target="webSettings.xml"/><Relationship Id="rId15" Type="http://schemas.openxmlformats.org/officeDocument/2006/relationships/hyperlink" Target="https://opportunityinsights.org/wp-content/uploads/2018/10/atlas_slides.pdf" TargetMode="External"/><Relationship Id="rId10" Type="http://schemas.openxmlformats.org/officeDocument/2006/relationships/hyperlink" Target="https://opportunityinsights.org/wp-content/uploads/2018/10/atlas_paper.pdf" TargetMode="External"/><Relationship Id="rId4" Type="http://schemas.openxmlformats.org/officeDocument/2006/relationships/settings" Target="settings.xml"/><Relationship Id="rId9" Type="http://schemas.openxmlformats.org/officeDocument/2006/relationships/hyperlink" Target="http://opportunityinsights.org/paper/the-effects-of-neighborhoods-on-intergenerational-mobility-i-childhood-exposure-effects" TargetMode="External"/><Relationship Id="rId14" Type="http://schemas.openxmlformats.org/officeDocument/2006/relationships/hyperlink" Target="https://opportunityinsights.org/wp-content/uploads/2018/10/atlas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E322-5BB5-464B-A501-C2C81C54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 Daniel Jh</dc:creator>
  <cp:lastModifiedBy>Merchant, Sarah</cp:lastModifiedBy>
  <cp:revision>2</cp:revision>
  <cp:lastPrinted>2018-10-01T21:02:00Z</cp:lastPrinted>
  <dcterms:created xsi:type="dcterms:W3CDTF">2018-10-12T15:39:00Z</dcterms:created>
  <dcterms:modified xsi:type="dcterms:W3CDTF">2018-10-12T15:39:00Z</dcterms:modified>
</cp:coreProperties>
</file>